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before="0" w:after="1100" w:line="307" w:lineRule="auto"/>
      </w:pPr>
      <w:r>
        <w:rPr>
          <w:rFonts w:ascii="Aptos" w:hAnsi="Aptos" w:eastAsia="Microsoft YaHei"/>
          <w:b w:val="0"/>
          <w:i w:val="0"/>
          <w:color w:val="1D352C"/>
          <w:sz w:val="2"/>
        </w:rPr>
      </w:r>
    </w:p>
    <w:p>
      <w:pPr>
        <w:spacing w:after="360"/>
        <w:jc w:val="center"/>
      </w:pPr>
      <w:r>
        <w:drawing>
          <wp:inline xmlns:a="http://schemas.openxmlformats.org/drawingml/2006/main" xmlns:pic="http://schemas.openxmlformats.org/drawingml/2006/picture">
            <wp:extent cx="1874519" cy="187451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awfin-logo-green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74519" cy="187451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Next w:val="0"/>
        <w:spacing w:before="0" w:after="100" w:line="307" w:lineRule="auto"/>
        <w:jc w:val="center"/>
      </w:pPr>
      <w:r>
        <w:rPr>
          <w:rFonts w:ascii="Aptos" w:hAnsi="Aptos" w:eastAsia="Microsoft YaHei"/>
          <w:b/>
          <w:i w:val="0"/>
          <w:color w:val="0B3B2A"/>
          <w:sz w:val="60"/>
        </w:rPr>
        <w:t>CLAWFIN</w:t>
      </w:r>
    </w:p>
    <w:p>
      <w:pPr>
        <w:keepNext w:val="0"/>
        <w:spacing w:before="0" w:after="240" w:line="307" w:lineRule="auto"/>
        <w:jc w:val="center"/>
      </w:pPr>
      <w:r>
        <w:rPr>
          <w:rFonts w:ascii="Aptos" w:hAnsi="Aptos" w:eastAsia="Microsoft YaHei"/>
          <w:b/>
          <w:i w:val="0"/>
          <w:color w:val="176B4D"/>
          <w:sz w:val="48"/>
        </w:rPr>
        <w:t>商业计划书</w:t>
      </w:r>
    </w:p>
    <w:p>
      <w:pPr>
        <w:keepNext w:val="0"/>
        <w:spacing w:before="0" w:after="180" w:line="307" w:lineRule="auto"/>
        <w:jc w:val="center"/>
      </w:pPr>
      <w:r>
        <w:rPr>
          <w:rFonts w:ascii="Aptos" w:hAnsi="Aptos" w:eastAsia="Microsoft YaHei"/>
          <w:b/>
          <w:i w:val="0"/>
          <w:color w:val="1D352C"/>
          <w:sz w:val="28"/>
        </w:rPr>
        <w:t>跨境往来账、现金回收、汇率管理与关联交易智能诊断平台</w:t>
      </w:r>
    </w:p>
    <w:p>
      <w:pPr>
        <w:keepNext w:val="0"/>
        <w:spacing w:before="0" w:after="900" w:line="307" w:lineRule="auto"/>
        <w:jc w:val="center"/>
      </w:pPr>
      <w:r>
        <w:rPr>
          <w:rFonts w:ascii="Aptos" w:hAnsi="Aptos" w:eastAsia="Microsoft YaHei"/>
          <w:b/>
          <w:i w:val="0"/>
          <w:color w:val="60756B"/>
          <w:sz w:val="21"/>
        </w:rPr>
        <w:t>FINANCE WORKS. TAX EXPERTS PROTECT.</w:t>
      </w:r>
    </w:p>
    <w:p>
      <w:pPr>
        <w:keepNext w:val="0"/>
        <w:spacing w:before="0" w:after="80" w:line="307" w:lineRule="auto"/>
        <w:jc w:val="center"/>
      </w:pPr>
      <w:r>
        <w:rPr>
          <w:rFonts w:ascii="Aptos" w:hAnsi="Aptos" w:eastAsia="Microsoft YaHei"/>
          <w:b/>
          <w:i w:val="0"/>
          <w:color w:val="176B4D"/>
          <w:sz w:val="22"/>
        </w:rPr>
        <w:t>V3.0 整合打印版</w:t>
      </w:r>
    </w:p>
    <w:p>
      <w:pPr>
        <w:keepNext w:val="0"/>
        <w:spacing w:before="0" w:after="100" w:line="307" w:lineRule="auto"/>
        <w:jc w:val="center"/>
      </w:pPr>
      <w:r>
        <w:rPr>
          <w:rFonts w:ascii="Aptos" w:hAnsi="Aptos" w:eastAsia="Microsoft YaHei"/>
          <w:b w:val="0"/>
          <w:i w:val="0"/>
          <w:color w:val="60756B"/>
          <w:sz w:val="19"/>
        </w:rPr>
        <w:t>基于《商业计划书 V2.0》与《开发框架 V1.0》整合完善</w:t>
      </w:r>
    </w:p>
    <w:p>
      <w:pPr>
        <w:keepNext w:val="0"/>
        <w:spacing w:before="0" w:after="0" w:line="307" w:lineRule="auto"/>
        <w:jc w:val="center"/>
      </w:pPr>
      <w:r>
        <w:rPr>
          <w:rFonts w:ascii="Aptos" w:hAnsi="Aptos" w:eastAsia="Microsoft YaHei"/>
          <w:b/>
          <w:i w:val="0"/>
          <w:color w:val="0B3B2A"/>
          <w:sz w:val="20"/>
        </w:rPr>
        <w:t>八至管理咨询｜2026年7月</w:t>
      </w:r>
    </w:p>
    <w:p>
      <w:r>
        <w:br w:type="page"/>
      </w:r>
    </w:p>
    <w:p>
      <w:pPr>
        <w:pStyle w:val="Heading1"/>
        <w:keepNext/>
        <w:spacing w:before="340" w:after="160"/>
      </w:pPr>
      <w:r>
        <w:rPr>
          <w:rFonts w:ascii="Aptos" w:hAnsi="Aptos" w:eastAsia="Microsoft YaHei"/>
          <w:b/>
          <w:color w:val="0B3B2A"/>
          <w:sz w:val="32"/>
        </w:rPr>
        <w:t>执行摘要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AF5EE"/>
          </w:tcPr>
          <w:p>
            <w:pPr>
              <w:spacing w:after="0" w:line="288" w:lineRule="auto"/>
            </w:pPr>
            <w:r>
              <w:rPr>
                <w:rFonts w:ascii="Aptos" w:hAnsi="Aptos" w:eastAsia="Microsoft YaHei"/>
                <w:b/>
                <w:color w:val="176B4D"/>
                <w:sz w:val="20"/>
              </w:rPr>
              <w:t>一句话定位｜</w:t>
            </w:r>
            <w:r>
              <w:rPr>
                <w:rFonts w:ascii="Aptos" w:hAnsi="Aptos" w:eastAsia="Microsoft YaHei"/>
                <w:color w:val="1D352C"/>
                <w:sz w:val="20"/>
              </w:rPr>
              <w:t>ClawFin 是面向多主体、跨境交易和复杂客户供应商关系企业的轻量财务诊断层：不替换 ERP，先用已有文件找回现金、减少漏损、解释汇率差异，并把税务与转让定价事项有证据地转交 ClawTax。</w:t>
            </w:r>
          </w:p>
        </w:tc>
      </w:tr>
    </w:tbl>
    <w:p>
      <w:pPr>
        <w:keepNext w:val="0"/>
        <w:spacing w:before="0" w:after="40" w:line="307" w:lineRule="auto"/>
      </w:pPr>
      <w:r>
        <w:rPr>
          <w:rFonts w:ascii="Aptos" w:hAnsi="Aptos" w:eastAsia="Microsoft YaHei"/>
          <w:b w:val="0"/>
          <w:i w:val="0"/>
          <w:color w:val="1D352C"/>
          <w:sz w:val="4"/>
        </w:rPr>
      </w:r>
    </w:p>
    <w:p>
      <w:pPr>
        <w:keepNext w:val="0"/>
        <w:spacing w:before="0" w:after="140" w:line="307" w:lineRule="auto"/>
      </w:pPr>
      <w:r>
        <w:rPr>
          <w:rFonts w:ascii="Aptos" w:hAnsi="Aptos" w:eastAsia="Microsoft YaHei"/>
          <w:b w:val="0"/>
          <w:i w:val="0"/>
          <w:color w:val="1D352C"/>
          <w:sz w:val="21"/>
        </w:rPr>
        <w:t>ClawFin 以应收、应付和公司间往来这类“耗时、低关注、却直接影响现金和审计”的工作为突破口。客户上传账龄表、发票、银行流水、总账和合同后，平台以确定性规则完成匹配、账龄、重复付款、双边余额和汇率换算，再由 AI 解释异常、生成行动建议和管理报告。重大金额、对外报告及专业判断保留人工复核。</w:t>
      </w:r>
    </w:p>
    <w:p>
      <w:pPr>
        <w:keepNext w:val="0"/>
        <w:spacing w:before="0" w:after="140" w:line="307" w:lineRule="auto"/>
      </w:pPr>
      <w:r>
        <w:rPr>
          <w:rFonts w:ascii="Aptos" w:hAnsi="Aptos" w:eastAsia="Microsoft YaHei"/>
          <w:b w:val="0"/>
          <w:i w:val="0"/>
          <w:color w:val="1D352C"/>
          <w:sz w:val="21"/>
        </w:rPr>
        <w:t>整合后的产品采用“数据智能层—诊断引擎层—智能建议层—交付协作层”四层架构，并由八个业务模块覆盖从历史诊断到未来现金预测。ClawTax 提供统一 AI 底座及税务专业承接；八至管理咨询负责场景规则、联合推广、客户诊断会和治理项目。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0"/>
        <w:gridCol w:w="7160"/>
      </w:tblGrid>
      <w:tr>
        <w:trPr>
          <w:tblHeader w:val="true"/>
        </w:trPr>
        <w:tc>
          <w:tcPr>
            <w:tcW w:type="dxa" w:w="22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0B3B2A"/>
          </w:tcPr>
          <w:p>
            <w:pPr>
              <w:spacing w:after="0"/>
              <w:jc w:val="center"/>
            </w:pPr>
            <w:r>
              <w:rPr>
                <w:rFonts w:ascii="Aptos" w:hAnsi="Aptos" w:eastAsia="Microsoft YaHei"/>
                <w:b/>
                <w:color w:val="FFFFFF"/>
                <w:sz w:val="18"/>
              </w:rPr>
              <w:t>商业要点</w:t>
            </w:r>
          </w:p>
        </w:tc>
        <w:tc>
          <w:tcPr>
            <w:tcW w:type="dxa" w:w="71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0B3B2A"/>
          </w:tcPr>
          <w:p>
            <w:pPr>
              <w:spacing w:after="0"/>
              <w:jc w:val="center"/>
            </w:pPr>
            <w:r>
              <w:rPr>
                <w:rFonts w:ascii="Aptos" w:hAnsi="Aptos" w:eastAsia="Microsoft YaHei"/>
                <w:b/>
                <w:color w:val="FFFFFF"/>
                <w:sz w:val="18"/>
              </w:rPr>
              <w:t>整合后结论</w:t>
            </w:r>
          </w:p>
        </w:tc>
      </w:tr>
      <w:tr>
        <w:tc>
          <w:tcPr>
            <w:tcW w:type="dxa" w:w="22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首要切口</w:t>
            </w:r>
          </w:p>
        </w:tc>
        <w:tc>
          <w:tcPr>
            <w:tcW w:type="dxa" w:w="716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应收现金回收 + 应付漏损，先证明可量化 ROI</w:t>
            </w:r>
          </w:p>
        </w:tc>
      </w:tr>
      <w:tr>
        <w:tc>
          <w:tcPr>
            <w:tcW w:type="dxa" w:w="22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差异化</w:t>
            </w:r>
          </w:p>
        </w:tc>
        <w:tc>
          <w:tcPr>
            <w:tcW w:type="dxa" w:w="716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多时点汇率、双边关联对账、TP 数据桥与税务转介闭环</w:t>
            </w:r>
          </w:p>
        </w:tc>
      </w:tr>
      <w:tr>
        <w:tc>
          <w:tcPr>
            <w:tcW w:type="dxa" w:w="22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商业模式</w:t>
            </w:r>
          </w:p>
        </w:tc>
        <w:tc>
          <w:tcPr>
            <w:tcW w:type="dxa" w:w="716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免费扫描 → 付费专项诊断 → 月度监控 → 专家项目 → 企业部署</w:t>
            </w:r>
          </w:p>
        </w:tc>
      </w:tr>
      <w:tr>
        <w:tc>
          <w:tcPr>
            <w:tcW w:type="dxa" w:w="22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目标客户</w:t>
            </w:r>
          </w:p>
        </w:tc>
        <w:tc>
          <w:tcPr>
            <w:tcW w:type="dxa" w:w="716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年营收约 HK$50m–HK$1bn、2个以上主体、跨境或多币种</w:t>
            </w:r>
          </w:p>
        </w:tc>
      </w:tr>
      <w:tr>
        <w:tc>
          <w:tcPr>
            <w:tcW w:type="dxa" w:w="22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三年规划</w:t>
            </w:r>
          </w:p>
        </w:tc>
        <w:tc>
          <w:tcPr>
            <w:tcW w:type="dxa" w:w="716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收入 HK$2.3m / HK$7.8m / HK$20.5m；第2年实现经营盈亏转正</w:t>
            </w:r>
          </w:p>
        </w:tc>
      </w:tr>
      <w:tr>
        <w:tc>
          <w:tcPr>
            <w:tcW w:type="dxa" w:w="22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12个月目标</w:t>
            </w:r>
          </w:p>
        </w:tc>
        <w:tc>
          <w:tcPr>
            <w:tcW w:type="dxa" w:w="716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5家设计伙伴、10个付费项目、3家订阅、1家企业部署</w:t>
            </w:r>
          </w:p>
        </w:tc>
      </w:tr>
    </w:tbl>
    <w:p>
      <w:pPr>
        <w:keepNext w:val="0"/>
        <w:spacing w:before="0" w:after="60" w:line="307" w:lineRule="auto"/>
      </w:pPr>
      <w:r>
        <w:rPr>
          <w:rFonts w:ascii="Aptos" w:hAnsi="Aptos" w:eastAsia="Microsoft YaHei"/>
          <w:b w:val="0"/>
          <w:i w:val="0"/>
          <w:color w:val="1D352C"/>
          <w:sz w:val="4"/>
        </w:rPr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7E8"/>
          </w:tcPr>
          <w:p>
            <w:pPr>
              <w:spacing w:after="0" w:line="288" w:lineRule="auto"/>
            </w:pPr>
            <w:r>
              <w:rPr>
                <w:rFonts w:ascii="Aptos" w:hAnsi="Aptos" w:eastAsia="Microsoft YaHei"/>
                <w:b/>
                <w:color w:val="A06A1B"/>
                <w:sz w:val="20"/>
              </w:rPr>
              <w:t>管理层建议｜</w:t>
            </w:r>
            <w:r>
              <w:rPr>
                <w:rFonts w:ascii="Aptos" w:hAnsi="Aptos" w:eastAsia="Microsoft YaHei"/>
                <w:color w:val="1D352C"/>
                <w:sz w:val="20"/>
              </w:rPr>
              <w:t>首年不要同时做“完整 ERP、支付平台、税务意见和所有行业”。先完成 F1 应收、F2 应付、F3 对账及基础报告，以 5 家设计伙伴验证准确率和现金价值，再逐步上线 F5/F6、订阅监控和企业集成。</w:t>
            </w:r>
          </w:p>
        </w:tc>
      </w:tr>
    </w:tbl>
    <w:p>
      <w:pPr>
        <w:keepNext w:val="0"/>
        <w:spacing w:before="0" w:after="40" w:line="307" w:lineRule="auto"/>
      </w:pPr>
      <w:r>
        <w:rPr>
          <w:rFonts w:ascii="Aptos" w:hAnsi="Aptos" w:eastAsia="Microsoft YaHei"/>
          <w:b w:val="0"/>
          <w:i w:val="0"/>
          <w:color w:val="1D352C"/>
          <w:sz w:val="4"/>
        </w:rPr>
      </w:r>
    </w:p>
    <w:p>
      <w:r>
        <w:br w:type="page"/>
      </w:r>
    </w:p>
    <w:p>
      <w:pPr>
        <w:pStyle w:val="Heading1"/>
        <w:keepNext/>
        <w:spacing w:before="340" w:after="160"/>
      </w:pPr>
      <w:r>
        <w:rPr>
          <w:rFonts w:ascii="Aptos" w:hAnsi="Aptos" w:eastAsia="Microsoft YaHei"/>
          <w:b/>
          <w:color w:val="0B3B2A"/>
          <w:sz w:val="32"/>
        </w:rPr>
        <w:t>1. 市场痛点与切入机会</w:t>
      </w:r>
    </w:p>
    <w:p>
      <w:pPr>
        <w:pStyle w:val="Heading2"/>
        <w:keepNext/>
        <w:spacing w:before="240" w:after="120"/>
      </w:pPr>
      <w:r>
        <w:rPr>
          <w:rFonts w:ascii="Aptos" w:hAnsi="Aptos" w:eastAsia="Microsoft YaHei"/>
          <w:b/>
          <w:color w:val="176B4D"/>
          <w:sz w:val="26"/>
        </w:rPr>
        <w:t>1.1 为什么从往来账开始</w:t>
      </w:r>
    </w:p>
    <w:p>
      <w:pPr>
        <w:keepNext w:val="0"/>
        <w:spacing w:before="0" w:after="140" w:line="307" w:lineRule="auto"/>
      </w:pPr>
      <w:r>
        <w:rPr>
          <w:rFonts w:ascii="Aptos" w:hAnsi="Aptos" w:eastAsia="Microsoft YaHei"/>
          <w:b w:val="0"/>
          <w:i w:val="0"/>
          <w:color w:val="1D352C"/>
          <w:sz w:val="21"/>
        </w:rPr>
        <w:t>往来账具有四个同时成立的特征：数据已经存在、人工耗时巨大、管理层关注不足、结果可以直接用现金衡量。因此它比泛化 AI 助手更容易形成采购理由。</w:t>
      </w:r>
    </w:p>
    <w:p>
      <w:pPr>
        <w:pStyle w:val="ListBullet"/>
        <w:spacing w:after="80" w:line="293" w:lineRule="auto"/>
      </w:pPr>
      <w:r>
        <w:rPr>
          <w:rFonts w:ascii="Aptos" w:hAnsi="Aptos" w:eastAsia="Microsoft YaHei"/>
          <w:color w:val="1D352C"/>
          <w:sz w:val="20"/>
        </w:rPr>
        <w:t>应收端：逾期没有优先级，财务机械催收，业务不愿介入，坏账风险被动暴露。</w:t>
      </w:r>
    </w:p>
    <w:p>
      <w:pPr>
        <w:pStyle w:val="ListBullet"/>
        <w:spacing w:after="80" w:line="293" w:lineRule="auto"/>
      </w:pPr>
      <w:r>
        <w:rPr>
          <w:rFonts w:ascii="Aptos" w:hAnsi="Aptos" w:eastAsia="Microsoft YaHei"/>
          <w:color w:val="1D352C"/>
          <w:sz w:val="20"/>
        </w:rPr>
        <w:t>应付端：重复发票、重复付款、无合同或无验收付款，通常到审计时才被抽查发现。</w:t>
      </w:r>
    </w:p>
    <w:p>
      <w:pPr>
        <w:pStyle w:val="ListBullet"/>
        <w:spacing w:after="80" w:line="293" w:lineRule="auto"/>
      </w:pPr>
      <w:r>
        <w:rPr>
          <w:rFonts w:ascii="Aptos" w:hAnsi="Aptos" w:eastAsia="Microsoft YaHei"/>
          <w:color w:val="1D352C"/>
          <w:sz w:val="20"/>
        </w:rPr>
        <w:t>集团内部：多主体双边余额、币种、期间和主体映射长期不一致，月结依赖 Excel 与邮件。</w:t>
      </w:r>
    </w:p>
    <w:p>
      <w:pPr>
        <w:pStyle w:val="ListBullet"/>
        <w:spacing w:after="80" w:line="293" w:lineRule="auto"/>
      </w:pPr>
      <w:r>
        <w:rPr>
          <w:rFonts w:ascii="Aptos" w:hAnsi="Aptos" w:eastAsia="Microsoft YaHei"/>
          <w:color w:val="1D352C"/>
          <w:sz w:val="20"/>
        </w:rPr>
        <w:t>跨境端：合同日、交易日、结算日和期末汇率不一致，差额解释和责任归属困难。</w:t>
      </w:r>
    </w:p>
    <w:p>
      <w:pPr>
        <w:pStyle w:val="ListBullet"/>
        <w:spacing w:after="80" w:line="293" w:lineRule="auto"/>
      </w:pPr>
      <w:r>
        <w:rPr>
          <w:rFonts w:ascii="Aptos" w:hAnsi="Aptos" w:eastAsia="Microsoft YaHei"/>
          <w:color w:val="1D352C"/>
          <w:sz w:val="20"/>
        </w:rPr>
        <w:t>专业端：关联交易数据散落在财务流程中，直到准备转让定价文件时才发现资料缺口。</w:t>
      </w:r>
    </w:p>
    <w:p>
      <w:pPr>
        <w:pStyle w:val="Heading2"/>
        <w:keepNext/>
        <w:spacing w:before="240" w:after="120"/>
      </w:pPr>
      <w:r>
        <w:rPr>
          <w:rFonts w:ascii="Aptos" w:hAnsi="Aptos" w:eastAsia="Microsoft YaHei"/>
          <w:b/>
          <w:color w:val="176B4D"/>
          <w:sz w:val="26"/>
        </w:rPr>
        <w:t>1.2 客户为什么愿意付费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3000"/>
        <w:gridCol w:w="4460"/>
      </w:tblGrid>
      <w:tr>
        <w:trPr>
          <w:tblHeader w:val="true"/>
        </w:trPr>
        <w:tc>
          <w:tcPr>
            <w:tcW w:type="dxa" w:w="19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0B3B2A"/>
          </w:tcPr>
          <w:p>
            <w:pPr>
              <w:spacing w:after="0"/>
              <w:jc w:val="center"/>
            </w:pPr>
            <w:r>
              <w:rPr>
                <w:rFonts w:ascii="Aptos" w:hAnsi="Aptos" w:eastAsia="Microsoft YaHei"/>
                <w:b/>
                <w:color w:val="FFFFFF"/>
                <w:sz w:val="18"/>
              </w:rPr>
              <w:t>客户购买理由</w:t>
            </w:r>
          </w:p>
        </w:tc>
        <w:tc>
          <w:tcPr>
            <w:tcW w:type="dxa" w:w="30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0B3B2A"/>
          </w:tcPr>
          <w:p>
            <w:pPr>
              <w:spacing w:after="0"/>
              <w:jc w:val="center"/>
            </w:pPr>
            <w:r>
              <w:rPr>
                <w:rFonts w:ascii="Aptos" w:hAnsi="Aptos" w:eastAsia="Microsoft YaHei"/>
                <w:b/>
                <w:color w:val="FFFFFF"/>
                <w:sz w:val="18"/>
              </w:rPr>
              <w:t>量化方式</w:t>
            </w:r>
          </w:p>
        </w:tc>
        <w:tc>
          <w:tcPr>
            <w:tcW w:type="dxa" w:w="44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0B3B2A"/>
          </w:tcPr>
          <w:p>
            <w:pPr>
              <w:spacing w:after="0"/>
              <w:jc w:val="center"/>
            </w:pPr>
            <w:r>
              <w:rPr>
                <w:rFonts w:ascii="Aptos" w:hAnsi="Aptos" w:eastAsia="Microsoft YaHei"/>
                <w:b/>
                <w:color w:val="FFFFFF"/>
                <w:sz w:val="18"/>
              </w:rPr>
              <w:t>ClawFin 交付</w:t>
            </w:r>
          </w:p>
        </w:tc>
      </w:tr>
      <w:tr>
        <w:tc>
          <w:tcPr>
            <w:tcW w:type="dxa" w:w="19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现金回收</w:t>
            </w:r>
          </w:p>
        </w:tc>
        <w:tc>
          <w:tcPr>
            <w:tcW w:type="dxa" w:w="30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逾期金额、预计回款、回款周期</w:t>
            </w:r>
          </w:p>
        </w:tc>
        <w:tc>
          <w:tcPr>
            <w:tcW w:type="dxa" w:w="446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优先级清单、催收任务、责任人</w:t>
            </w:r>
          </w:p>
        </w:tc>
      </w:tr>
      <w:tr>
        <w:tc>
          <w:tcPr>
            <w:tcW w:type="dxa" w:w="19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避免损失</w:t>
            </w:r>
          </w:p>
        </w:tc>
        <w:tc>
          <w:tcPr>
            <w:tcW w:type="dxa" w:w="30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重复付款、异常发票、无依据付款</w:t>
            </w:r>
          </w:p>
        </w:tc>
        <w:tc>
          <w:tcPr>
            <w:tcW w:type="dxa" w:w="446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交易级证据链与处理建议</w:t>
            </w:r>
          </w:p>
        </w:tc>
      </w:tr>
      <w:tr>
        <w:tc>
          <w:tcPr>
            <w:tcW w:type="dxa" w:w="19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节省工时</w:t>
            </w:r>
          </w:p>
        </w:tc>
        <w:tc>
          <w:tcPr>
            <w:tcW w:type="dxa" w:w="30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对账、月结、审计准备小时数</w:t>
            </w:r>
          </w:p>
        </w:tc>
        <w:tc>
          <w:tcPr>
            <w:tcW w:type="dxa" w:w="446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自动匹配、差异底稿、行动清单</w:t>
            </w:r>
          </w:p>
        </w:tc>
      </w:tr>
      <w:tr>
        <w:tc>
          <w:tcPr>
            <w:tcW w:type="dxa" w:w="19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控制汇率</w:t>
            </w:r>
          </w:p>
        </w:tc>
        <w:tc>
          <w:tcPr>
            <w:tcW w:type="dxa" w:w="30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换算差异、结算价差、汇兑损益</w:t>
            </w:r>
          </w:p>
        </w:tc>
        <w:tc>
          <w:tcPr>
            <w:tcW w:type="dxa" w:w="446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多时点换算与一致性报告</w:t>
            </w:r>
          </w:p>
        </w:tc>
      </w:tr>
      <w:tr>
        <w:tc>
          <w:tcPr>
            <w:tcW w:type="dxa" w:w="19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降低专业风险</w:t>
            </w:r>
          </w:p>
        </w:tc>
        <w:tc>
          <w:tcPr>
            <w:tcW w:type="dxa" w:w="30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TP资料缺口、合规事项数量</w:t>
            </w:r>
          </w:p>
        </w:tc>
        <w:tc>
          <w:tcPr>
            <w:tcW w:type="dxa" w:w="446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数据桥、转介包、专家复核记录</w:t>
            </w:r>
          </w:p>
        </w:tc>
      </w:tr>
    </w:tbl>
    <w:p>
      <w:pPr>
        <w:keepNext w:val="0"/>
        <w:spacing w:before="0" w:after="60" w:line="307" w:lineRule="auto"/>
      </w:pPr>
      <w:r>
        <w:rPr>
          <w:rFonts w:ascii="Aptos" w:hAnsi="Aptos" w:eastAsia="Microsoft YaHei"/>
          <w:b w:val="0"/>
          <w:i w:val="0"/>
          <w:color w:val="1D352C"/>
          <w:sz w:val="4"/>
        </w:rPr>
      </w:r>
    </w:p>
    <w:p>
      <w:r>
        <w:br w:type="page"/>
      </w:r>
    </w:p>
    <w:p>
      <w:pPr>
        <w:pStyle w:val="Heading1"/>
        <w:keepNext/>
        <w:spacing w:before="340" w:after="160"/>
      </w:pPr>
      <w:r>
        <w:rPr>
          <w:rFonts w:ascii="Aptos" w:hAnsi="Aptos" w:eastAsia="Microsoft YaHei"/>
          <w:b/>
          <w:color w:val="0B3B2A"/>
          <w:sz w:val="32"/>
        </w:rPr>
        <w:t>2. 产品定位、客户与首选场景</w:t>
      </w:r>
    </w:p>
    <w:p>
      <w:pPr>
        <w:pStyle w:val="Heading2"/>
        <w:keepNext/>
        <w:spacing w:before="240" w:after="120"/>
      </w:pPr>
      <w:r>
        <w:rPr>
          <w:rFonts w:ascii="Aptos" w:hAnsi="Aptos" w:eastAsia="Microsoft YaHei"/>
          <w:b/>
          <w:color w:val="176B4D"/>
          <w:sz w:val="26"/>
        </w:rPr>
        <w:t>2.1 产品边界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rPr>
          <w:tblHeader w:val="true"/>
        </w:trPr>
        <w:tc>
          <w:tcPr>
            <w:tcW w:type="dxa" w:w="46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0B3B2A"/>
          </w:tcPr>
          <w:p>
            <w:pPr>
              <w:spacing w:after="0"/>
              <w:jc w:val="center"/>
            </w:pPr>
            <w:r>
              <w:rPr>
                <w:rFonts w:ascii="Aptos" w:hAnsi="Aptos" w:eastAsia="Microsoft YaHei"/>
                <w:b/>
                <w:color w:val="FFFFFF"/>
                <w:sz w:val="18"/>
              </w:rPr>
              <w:t>ClawFin 是什么</w:t>
            </w:r>
          </w:p>
        </w:tc>
        <w:tc>
          <w:tcPr>
            <w:tcW w:type="dxa" w:w="46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0B3B2A"/>
          </w:tcPr>
          <w:p>
            <w:pPr>
              <w:spacing w:after="0"/>
              <w:jc w:val="center"/>
            </w:pPr>
            <w:r>
              <w:rPr>
                <w:rFonts w:ascii="Aptos" w:hAnsi="Aptos" w:eastAsia="Microsoft YaHei"/>
                <w:b/>
                <w:color w:val="FFFFFF"/>
                <w:sz w:val="18"/>
              </w:rPr>
              <w:t>ClawFin 不是什么</w:t>
            </w:r>
          </w:p>
        </w:tc>
      </w:tr>
      <w:tr>
        <w:tc>
          <w:tcPr>
            <w:tcW w:type="dxa" w:w="468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现有系统之上的诊断与行动层</w:t>
            </w:r>
          </w:p>
        </w:tc>
        <w:tc>
          <w:tcPr>
            <w:tcW w:type="dxa" w:w="468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不替换 ERP、网银或会计软件</w:t>
            </w:r>
          </w:p>
        </w:tc>
      </w:tr>
      <w:tr>
        <w:tc>
          <w:tcPr>
            <w:tcW w:type="dxa" w:w="468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规则优先、AI解释、专家复核</w:t>
            </w:r>
          </w:p>
        </w:tc>
        <w:tc>
          <w:tcPr>
            <w:tcW w:type="dxa" w:w="468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不让生成式 AI 猜金额、账龄或汇率</w:t>
            </w:r>
          </w:p>
        </w:tc>
      </w:tr>
      <w:tr>
        <w:tc>
          <w:tcPr>
            <w:tcW w:type="dxa" w:w="468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现金与往来管理的持续工作流</w:t>
            </w:r>
          </w:p>
        </w:tc>
        <w:tc>
          <w:tcPr>
            <w:tcW w:type="dxa" w:w="468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不止是一次性报告生成器</w:t>
            </w:r>
          </w:p>
        </w:tc>
      </w:tr>
      <w:tr>
        <w:tc>
          <w:tcPr>
            <w:tcW w:type="dxa" w:w="468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税务事实与数据的准备者</w:t>
            </w:r>
          </w:p>
        </w:tc>
        <w:tc>
          <w:tcPr>
            <w:tcW w:type="dxa" w:w="468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不直接签发税务、法律或审计意见</w:t>
            </w:r>
          </w:p>
        </w:tc>
      </w:tr>
    </w:tbl>
    <w:p>
      <w:pPr>
        <w:keepNext w:val="0"/>
        <w:spacing w:before="0" w:after="60" w:line="307" w:lineRule="auto"/>
      </w:pPr>
      <w:r>
        <w:rPr>
          <w:rFonts w:ascii="Aptos" w:hAnsi="Aptos" w:eastAsia="Microsoft YaHei"/>
          <w:b w:val="0"/>
          <w:i w:val="0"/>
          <w:color w:val="1D352C"/>
          <w:sz w:val="4"/>
        </w:rPr>
      </w:r>
    </w:p>
    <w:p>
      <w:pPr>
        <w:pStyle w:val="Heading2"/>
        <w:keepNext/>
        <w:spacing w:before="240" w:after="120"/>
      </w:pPr>
      <w:r>
        <w:rPr>
          <w:rFonts w:ascii="Aptos" w:hAnsi="Aptos" w:eastAsia="Microsoft YaHei"/>
          <w:b/>
          <w:color w:val="176B4D"/>
          <w:sz w:val="26"/>
        </w:rPr>
        <w:t>2.2 理想客户画像</w:t>
      </w:r>
    </w:p>
    <w:p>
      <w:pPr>
        <w:pStyle w:val="ListBullet"/>
        <w:spacing w:after="80" w:line="293" w:lineRule="auto"/>
      </w:pPr>
      <w:r>
        <w:rPr>
          <w:rFonts w:ascii="Aptos" w:hAnsi="Aptos" w:eastAsia="Microsoft YaHei"/>
          <w:color w:val="1D352C"/>
          <w:sz w:val="20"/>
        </w:rPr>
        <w:t>香港、内地、新加坡或东南亚拥有两个以上经营主体；</w:t>
      </w:r>
    </w:p>
    <w:p>
      <w:pPr>
        <w:pStyle w:val="ListBullet"/>
        <w:spacing w:after="80" w:line="293" w:lineRule="auto"/>
      </w:pPr>
      <w:r>
        <w:rPr>
          <w:rFonts w:ascii="Aptos" w:hAnsi="Aptos" w:eastAsia="Microsoft YaHei"/>
          <w:color w:val="1D352C"/>
          <w:sz w:val="20"/>
        </w:rPr>
        <w:t>年营业额约 HK$50m–HK$1bn，已有财务团队但数据治理不足；</w:t>
      </w:r>
    </w:p>
    <w:p>
      <w:pPr>
        <w:pStyle w:val="ListBullet"/>
        <w:spacing w:after="80" w:line="293" w:lineRule="auto"/>
      </w:pPr>
      <w:r>
        <w:rPr>
          <w:rFonts w:ascii="Aptos" w:hAnsi="Aptos" w:eastAsia="Microsoft YaHei"/>
          <w:color w:val="1D352C"/>
          <w:sz w:val="20"/>
        </w:rPr>
        <w:t>每月应收应付交易量较大，仍大量使用 Excel 对账；</w:t>
      </w:r>
    </w:p>
    <w:p>
      <w:pPr>
        <w:pStyle w:val="ListBullet"/>
        <w:spacing w:after="80" w:line="293" w:lineRule="auto"/>
      </w:pPr>
      <w:r>
        <w:rPr>
          <w:rFonts w:ascii="Aptos" w:hAnsi="Aptos" w:eastAsia="Microsoft YaHei"/>
          <w:color w:val="1D352C"/>
          <w:sz w:val="20"/>
        </w:rPr>
        <w:t>存在多币种、跨境结算、关联交易、年度审计或转让定价需求；</w:t>
      </w:r>
    </w:p>
    <w:p>
      <w:pPr>
        <w:pStyle w:val="ListBullet"/>
        <w:spacing w:after="80" w:line="293" w:lineRule="auto"/>
      </w:pPr>
      <w:r>
        <w:rPr>
          <w:rFonts w:ascii="Aptos" w:hAnsi="Aptos" w:eastAsia="Microsoft YaHei"/>
          <w:color w:val="1D352C"/>
          <w:sz w:val="20"/>
        </w:rPr>
        <w:t>管理层愿意为“追回现金、避免付款、缩短月结”这类结果付费。</w:t>
      </w:r>
    </w:p>
    <w:p>
      <w:pPr>
        <w:pStyle w:val="Heading2"/>
        <w:keepNext/>
        <w:spacing w:before="240" w:after="120"/>
      </w:pPr>
      <w:r>
        <w:rPr>
          <w:rFonts w:ascii="Aptos" w:hAnsi="Aptos" w:eastAsia="Microsoft YaHei"/>
          <w:b/>
          <w:color w:val="176B4D"/>
          <w:sz w:val="26"/>
        </w:rPr>
        <w:t>2.3 首批行业方案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3860"/>
        <w:gridCol w:w="3700"/>
      </w:tblGrid>
      <w:tr>
        <w:trPr>
          <w:tblHeader w:val="true"/>
        </w:trPr>
        <w:tc>
          <w:tcPr>
            <w:tcW w:type="dxa" w:w="18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0B3B2A"/>
          </w:tcPr>
          <w:p>
            <w:pPr>
              <w:spacing w:after="0"/>
              <w:jc w:val="center"/>
            </w:pPr>
            <w:r>
              <w:rPr>
                <w:rFonts w:ascii="Aptos" w:hAnsi="Aptos" w:eastAsia="Microsoft YaHei"/>
                <w:b/>
                <w:color w:val="FFFFFF"/>
                <w:sz w:val="18"/>
              </w:rPr>
              <w:t>行业</w:t>
            </w:r>
          </w:p>
        </w:tc>
        <w:tc>
          <w:tcPr>
            <w:tcW w:type="dxa" w:w="3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0B3B2A"/>
          </w:tcPr>
          <w:p>
            <w:pPr>
              <w:spacing w:after="0"/>
              <w:jc w:val="center"/>
            </w:pPr>
            <w:r>
              <w:rPr>
                <w:rFonts w:ascii="Aptos" w:hAnsi="Aptos" w:eastAsia="Microsoft YaHei"/>
                <w:b/>
                <w:color w:val="FFFFFF"/>
                <w:sz w:val="18"/>
              </w:rPr>
              <w:t>高频问题</w:t>
            </w:r>
          </w:p>
        </w:tc>
        <w:tc>
          <w:tcPr>
            <w:tcW w:type="dxa" w:w="3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0B3B2A"/>
          </w:tcPr>
          <w:p>
            <w:pPr>
              <w:spacing w:after="0"/>
              <w:jc w:val="center"/>
            </w:pPr>
            <w:r>
              <w:rPr>
                <w:rFonts w:ascii="Aptos" w:hAnsi="Aptos" w:eastAsia="Microsoft YaHei"/>
                <w:b/>
                <w:color w:val="FFFFFF"/>
                <w:sz w:val="18"/>
              </w:rPr>
              <w:t>首个销售产品</w:t>
            </w:r>
          </w:p>
        </w:tc>
      </w:tr>
      <w:tr>
        <w:tc>
          <w:tcPr>
            <w:tcW w:type="dxa" w:w="18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跨境贸易/分销</w:t>
            </w:r>
          </w:p>
        </w:tc>
        <w:tc>
          <w:tcPr>
            <w:tcW w:type="dxa" w:w="386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逾期应收、多币种、银行价差</w:t>
            </w:r>
          </w:p>
        </w:tc>
        <w:tc>
          <w:tcPr>
            <w:tcW w:type="dxa" w:w="37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应收现金与汇率专项诊断</w:t>
            </w:r>
          </w:p>
        </w:tc>
      </w:tr>
      <w:tr>
        <w:tc>
          <w:tcPr>
            <w:tcW w:type="dxa" w:w="18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制造/供应链</w:t>
            </w:r>
          </w:p>
        </w:tc>
        <w:tc>
          <w:tcPr>
            <w:tcW w:type="dxa" w:w="386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重复付款、预付款、主体间差异</w:t>
            </w:r>
          </w:p>
        </w:tc>
        <w:tc>
          <w:tcPr>
            <w:tcW w:type="dxa" w:w="37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应付漏损与关联对账诊断</w:t>
            </w:r>
          </w:p>
        </w:tc>
      </w:tr>
      <w:tr>
        <w:tc>
          <w:tcPr>
            <w:tcW w:type="dxa" w:w="18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专业服务/科技</w:t>
            </w:r>
          </w:p>
        </w:tc>
        <w:tc>
          <w:tcPr>
            <w:tcW w:type="dxa" w:w="386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管理费、服务费、成本分摊与TP资料</w:t>
            </w:r>
          </w:p>
        </w:tc>
        <w:tc>
          <w:tcPr>
            <w:tcW w:type="dxa" w:w="37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关联交易数据桥与ClawTax转介</w:t>
            </w:r>
          </w:p>
        </w:tc>
      </w:tr>
    </w:tbl>
    <w:p>
      <w:pPr>
        <w:keepNext w:val="0"/>
        <w:spacing w:before="0" w:after="60" w:line="307" w:lineRule="auto"/>
      </w:pPr>
      <w:r>
        <w:rPr>
          <w:rFonts w:ascii="Aptos" w:hAnsi="Aptos" w:eastAsia="Microsoft YaHei"/>
          <w:b w:val="0"/>
          <w:i w:val="0"/>
          <w:color w:val="1D352C"/>
          <w:sz w:val="4"/>
        </w:rPr>
      </w:r>
    </w:p>
    <w:p>
      <w:r>
        <w:br w:type="page"/>
      </w:r>
    </w:p>
    <w:p>
      <w:pPr>
        <w:pStyle w:val="Heading1"/>
        <w:keepNext/>
        <w:spacing w:before="340" w:after="160"/>
      </w:pPr>
      <w:r>
        <w:rPr>
          <w:rFonts w:ascii="Aptos" w:hAnsi="Aptos" w:eastAsia="Microsoft YaHei"/>
          <w:b/>
          <w:color w:val="0B3B2A"/>
          <w:sz w:val="32"/>
        </w:rPr>
        <w:t>3. 产品体系：四层架构与八大模块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700"/>
        <w:gridCol w:w="2900"/>
        <w:gridCol w:w="4760"/>
      </w:tblGrid>
      <w:tr>
        <w:trPr>
          <w:tblHeader w:val="true"/>
        </w:trPr>
        <w:tc>
          <w:tcPr>
            <w:tcW w:type="dxa" w:w="1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0B3B2A"/>
          </w:tcPr>
          <w:p>
            <w:pPr>
              <w:spacing w:after="0"/>
              <w:jc w:val="center"/>
            </w:pPr>
            <w:r>
              <w:rPr>
                <w:rFonts w:ascii="Aptos" w:hAnsi="Aptos" w:eastAsia="Microsoft YaHei"/>
                <w:b/>
                <w:color w:val="FFFFFF"/>
                <w:sz w:val="18"/>
              </w:rPr>
              <w:t>层级</w:t>
            </w:r>
          </w:p>
        </w:tc>
        <w:tc>
          <w:tcPr>
            <w:tcW w:type="dxa" w:w="29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0B3B2A"/>
          </w:tcPr>
          <w:p>
            <w:pPr>
              <w:spacing w:after="0"/>
              <w:jc w:val="center"/>
            </w:pPr>
            <w:r>
              <w:rPr>
                <w:rFonts w:ascii="Aptos" w:hAnsi="Aptos" w:eastAsia="Microsoft YaHei"/>
                <w:b/>
                <w:color w:val="FFFFFF"/>
                <w:sz w:val="18"/>
              </w:rPr>
              <w:t>职责</w:t>
            </w:r>
          </w:p>
        </w:tc>
        <w:tc>
          <w:tcPr>
            <w:tcW w:type="dxa" w:w="47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0B3B2A"/>
          </w:tcPr>
          <w:p>
            <w:pPr>
              <w:spacing w:after="0"/>
              <w:jc w:val="center"/>
            </w:pPr>
            <w:r>
              <w:rPr>
                <w:rFonts w:ascii="Aptos" w:hAnsi="Aptos" w:eastAsia="Microsoft YaHei"/>
                <w:b/>
                <w:color w:val="FFFFFF"/>
                <w:sz w:val="18"/>
              </w:rPr>
              <w:t>核心能力</w:t>
            </w:r>
          </w:p>
        </w:tc>
      </w:tr>
      <w:tr>
        <w:tc>
          <w:tcPr>
            <w:tcW w:type="dxa" w:w="17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L1 数据智能层</w:t>
            </w:r>
          </w:p>
        </w:tc>
        <w:tc>
          <w:tcPr>
            <w:tcW w:type="dxa" w:w="29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把文件变成可诊断数据</w:t>
            </w:r>
          </w:p>
        </w:tc>
        <w:tc>
          <w:tcPr>
            <w:tcW w:type="dxa" w:w="476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文档解析、多源接入、汇率中心、主体关系图谱</w:t>
            </w:r>
          </w:p>
        </w:tc>
      </w:tr>
      <w:tr>
        <w:tc>
          <w:tcPr>
            <w:tcW w:type="dxa" w:w="17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L2 诊断引擎层</w:t>
            </w:r>
          </w:p>
        </w:tc>
        <w:tc>
          <w:tcPr>
            <w:tcW w:type="dxa" w:w="29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确定性识别金额与异常</w:t>
            </w:r>
          </w:p>
        </w:tc>
        <w:tc>
          <w:tcPr>
            <w:tcW w:type="dxa" w:w="476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F1-F8 财务诊断与预测</w:t>
            </w:r>
          </w:p>
        </w:tc>
      </w:tr>
      <w:tr>
        <w:tc>
          <w:tcPr>
            <w:tcW w:type="dxa" w:w="17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L3 智能建议层</w:t>
            </w:r>
          </w:p>
        </w:tc>
        <w:tc>
          <w:tcPr>
            <w:tcW w:type="dxa" w:w="29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把异常转化为行动</w:t>
            </w:r>
          </w:p>
        </w:tc>
        <w:tc>
          <w:tcPr>
            <w:tcW w:type="dxa" w:w="476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方案推荐、合规提示、风险评分、优先级</w:t>
            </w:r>
          </w:p>
        </w:tc>
      </w:tr>
      <w:tr>
        <w:tc>
          <w:tcPr>
            <w:tcW w:type="dxa" w:w="17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L4 交付协作层</w:t>
            </w:r>
          </w:p>
        </w:tc>
        <w:tc>
          <w:tcPr>
            <w:tcW w:type="dxa" w:w="29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让建议进入管理流程</w:t>
            </w:r>
          </w:p>
        </w:tc>
        <w:tc>
          <w:tcPr>
            <w:tcW w:type="dxa" w:w="476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报告、仪表盘、任务工作流、ClawTax转介</w:t>
            </w:r>
          </w:p>
        </w:tc>
      </w:tr>
    </w:tbl>
    <w:p>
      <w:pPr>
        <w:keepNext w:val="0"/>
        <w:spacing w:before="0" w:after="60" w:line="307" w:lineRule="auto"/>
      </w:pPr>
      <w:r>
        <w:rPr>
          <w:rFonts w:ascii="Aptos" w:hAnsi="Aptos" w:eastAsia="Microsoft YaHei"/>
          <w:b w:val="0"/>
          <w:i w:val="0"/>
          <w:color w:val="1D352C"/>
          <w:sz w:val="4"/>
        </w:rPr>
      </w:r>
    </w:p>
    <w:p>
      <w:pPr>
        <w:pStyle w:val="Heading2"/>
        <w:keepNext/>
        <w:spacing w:before="240" w:after="120"/>
      </w:pPr>
      <w:r>
        <w:rPr>
          <w:rFonts w:ascii="Aptos" w:hAnsi="Aptos" w:eastAsia="Microsoft YaHei"/>
          <w:b/>
          <w:color w:val="176B4D"/>
          <w:sz w:val="26"/>
        </w:rPr>
        <w:t>3.1 八大业务模块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00"/>
        <w:gridCol w:w="2300"/>
        <w:gridCol w:w="6160"/>
      </w:tblGrid>
      <w:tr>
        <w:trPr>
          <w:tblHeader w:val="true"/>
        </w:trPr>
        <w:tc>
          <w:tcPr>
            <w:tcW w:type="dxa" w:w="9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0B3B2A"/>
          </w:tcPr>
          <w:p>
            <w:pPr>
              <w:spacing w:after="0"/>
              <w:jc w:val="center"/>
            </w:pPr>
            <w:r>
              <w:rPr>
                <w:rFonts w:ascii="Aptos" w:hAnsi="Aptos" w:eastAsia="Microsoft YaHei"/>
                <w:b/>
                <w:color w:val="FFFFFF"/>
                <w:sz w:val="18"/>
              </w:rPr>
              <w:t>模块</w:t>
            </w:r>
          </w:p>
        </w:tc>
        <w:tc>
          <w:tcPr>
            <w:tcW w:type="dxa" w:w="23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0B3B2A"/>
          </w:tcPr>
          <w:p>
            <w:pPr>
              <w:spacing w:after="0"/>
              <w:jc w:val="center"/>
            </w:pPr>
            <w:r>
              <w:rPr>
                <w:rFonts w:ascii="Aptos" w:hAnsi="Aptos" w:eastAsia="Microsoft YaHei"/>
                <w:b/>
                <w:color w:val="FFFFFF"/>
                <w:sz w:val="18"/>
              </w:rPr>
              <w:t>名称</w:t>
            </w:r>
          </w:p>
        </w:tc>
        <w:tc>
          <w:tcPr>
            <w:tcW w:type="dxa" w:w="61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0B3B2A"/>
          </w:tcPr>
          <w:p>
            <w:pPr>
              <w:spacing w:after="0"/>
              <w:jc w:val="center"/>
            </w:pPr>
            <w:r>
              <w:rPr>
                <w:rFonts w:ascii="Aptos" w:hAnsi="Aptos" w:eastAsia="Microsoft YaHei"/>
                <w:b/>
                <w:color w:val="FFFFFF"/>
                <w:sz w:val="18"/>
              </w:rPr>
              <w:t>直接价值</w:t>
            </w:r>
          </w:p>
        </w:tc>
      </w:tr>
      <w:tr>
        <w:tc>
          <w:tcPr>
            <w:tcW w:type="dxa" w:w="9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F1</w:t>
            </w:r>
          </w:p>
        </w:tc>
        <w:tc>
          <w:tcPr>
            <w:tcW w:type="dxa" w:w="23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应收现金雷达</w:t>
            </w:r>
          </w:p>
        </w:tc>
        <w:tc>
          <w:tcPr>
            <w:tcW w:type="dxa" w:w="616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逾期排序、预计回款、催收任务，缩短现金周期</w:t>
            </w:r>
          </w:p>
        </w:tc>
      </w:tr>
      <w:tr>
        <w:tc>
          <w:tcPr>
            <w:tcW w:type="dxa" w:w="9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F2</w:t>
            </w:r>
          </w:p>
        </w:tc>
        <w:tc>
          <w:tcPr>
            <w:tcW w:type="dxa" w:w="23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应付漏损守门</w:t>
            </w:r>
          </w:p>
        </w:tc>
        <w:tc>
          <w:tcPr>
            <w:tcW w:type="dxa" w:w="616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重复付款、异常供应商、无依据付款识别</w:t>
            </w:r>
          </w:p>
        </w:tc>
      </w:tr>
      <w:tr>
        <w:tc>
          <w:tcPr>
            <w:tcW w:type="dxa" w:w="9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F3</w:t>
            </w:r>
          </w:p>
        </w:tc>
        <w:tc>
          <w:tcPr>
            <w:tcW w:type="dxa" w:w="23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关联往来对账</w:t>
            </w:r>
          </w:p>
        </w:tc>
        <w:tc>
          <w:tcPr>
            <w:tcW w:type="dxa" w:w="616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双边差异、长期余额、币种与期间错配</w:t>
            </w:r>
          </w:p>
        </w:tc>
      </w:tr>
      <w:tr>
        <w:tc>
          <w:tcPr>
            <w:tcW w:type="dxa" w:w="9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F4</w:t>
            </w:r>
          </w:p>
        </w:tc>
        <w:tc>
          <w:tcPr>
            <w:tcW w:type="dxa" w:w="23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TP 数据桥</w:t>
            </w:r>
          </w:p>
        </w:tc>
        <w:tc>
          <w:tcPr>
            <w:tcW w:type="dxa" w:w="616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关联交易数据包、资料缺口、ClawTax转介</w:t>
            </w:r>
          </w:p>
        </w:tc>
      </w:tr>
      <w:tr>
        <w:tc>
          <w:tcPr>
            <w:tcW w:type="dxa" w:w="9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F5</w:t>
            </w:r>
          </w:p>
        </w:tc>
        <w:tc>
          <w:tcPr>
            <w:tcW w:type="dxa" w:w="23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汇率换算引擎</w:t>
            </w:r>
          </w:p>
        </w:tc>
        <w:tc>
          <w:tcPr>
            <w:tcW w:type="dxa" w:w="616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合同日/交易日/结算日/期末换算与价差分析</w:t>
            </w:r>
          </w:p>
        </w:tc>
      </w:tr>
      <w:tr>
        <w:tc>
          <w:tcPr>
            <w:tcW w:type="dxa" w:w="9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F6</w:t>
            </w:r>
          </w:p>
        </w:tc>
        <w:tc>
          <w:tcPr>
            <w:tcW w:type="dxa" w:w="23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结算智能建议</w:t>
            </w:r>
          </w:p>
        </w:tc>
        <w:tc>
          <w:tcPr>
            <w:tcW w:type="dxa" w:w="616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资金或账务结算、轧差可行性与合规提示</w:t>
            </w:r>
          </w:p>
        </w:tc>
      </w:tr>
      <w:tr>
        <w:tc>
          <w:tcPr>
            <w:tcW w:type="dxa" w:w="9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F7</w:t>
            </w:r>
          </w:p>
        </w:tc>
        <w:tc>
          <w:tcPr>
            <w:tcW w:type="dxa" w:w="23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现金流监控</w:t>
            </w:r>
          </w:p>
        </w:tc>
        <w:tc>
          <w:tcPr>
            <w:tcW w:type="dxa" w:w="616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13周滚动预测、缺口预警和优化建议</w:t>
            </w:r>
          </w:p>
        </w:tc>
      </w:tr>
      <w:tr>
        <w:tc>
          <w:tcPr>
            <w:tcW w:type="dxa" w:w="9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F8</w:t>
            </w:r>
          </w:p>
        </w:tc>
        <w:tc>
          <w:tcPr>
            <w:tcW w:type="dxa" w:w="23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异常侦测</w:t>
            </w:r>
          </w:p>
        </w:tc>
        <w:tc>
          <w:tcPr>
            <w:tcW w:type="dxa" w:w="616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异常付款、供应商行为、欺诈和内控风险评分</w:t>
            </w:r>
          </w:p>
        </w:tc>
      </w:tr>
    </w:tbl>
    <w:p>
      <w:pPr>
        <w:keepNext w:val="0"/>
        <w:spacing w:before="0" w:after="60" w:line="307" w:lineRule="auto"/>
      </w:pPr>
      <w:r>
        <w:rPr>
          <w:rFonts w:ascii="Aptos" w:hAnsi="Aptos" w:eastAsia="Microsoft YaHei"/>
          <w:b w:val="0"/>
          <w:i w:val="0"/>
          <w:color w:val="1D352C"/>
          <w:sz w:val="4"/>
        </w:rPr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AF5EE"/>
          </w:tcPr>
          <w:p>
            <w:pPr>
              <w:spacing w:after="0" w:line="288" w:lineRule="auto"/>
            </w:pPr>
            <w:r>
              <w:rPr>
                <w:rFonts w:ascii="Aptos" w:hAnsi="Aptos" w:eastAsia="Microsoft YaHei"/>
                <w:b/>
                <w:color w:val="176B4D"/>
                <w:sz w:val="20"/>
              </w:rPr>
              <w:t>MVP范围｜</w:t>
            </w:r>
            <w:r>
              <w:rPr>
                <w:rFonts w:ascii="Aptos" w:hAnsi="Aptos" w:eastAsia="Microsoft YaHei"/>
                <w:color w:val="1D352C"/>
                <w:sz w:val="20"/>
              </w:rPr>
              <w:t>M1-M3 只交付 D1/D3/D4、F1、F2 和 R1；F3-F6 在首批付费项目中逐步上线；F7/F8 待数据积累后进入增强版。</w:t>
            </w:r>
          </w:p>
        </w:tc>
      </w:tr>
    </w:tbl>
    <w:p>
      <w:pPr>
        <w:keepNext w:val="0"/>
        <w:spacing w:before="0" w:after="40" w:line="307" w:lineRule="auto"/>
      </w:pPr>
      <w:r>
        <w:rPr>
          <w:rFonts w:ascii="Aptos" w:hAnsi="Aptos" w:eastAsia="Microsoft YaHei"/>
          <w:b w:val="0"/>
          <w:i w:val="0"/>
          <w:color w:val="1D352C"/>
          <w:sz w:val="4"/>
        </w:rPr>
      </w:r>
    </w:p>
    <w:p>
      <w:r>
        <w:br w:type="page"/>
      </w:r>
    </w:p>
    <w:p>
      <w:pPr>
        <w:pStyle w:val="Heading1"/>
        <w:keepNext/>
        <w:spacing w:before="340" w:after="160"/>
      </w:pPr>
      <w:r>
        <w:rPr>
          <w:rFonts w:ascii="Aptos" w:hAnsi="Aptos" w:eastAsia="Microsoft YaHei"/>
          <w:b/>
          <w:color w:val="0B3B2A"/>
          <w:sz w:val="32"/>
        </w:rPr>
        <w:t>4. ClawFin、ClawTax 与八至的协同边界</w:t>
      </w:r>
    </w:p>
    <w:p>
      <w:pPr>
        <w:keepNext w:val="0"/>
        <w:spacing w:before="0" w:after="140" w:line="307" w:lineRule="auto"/>
      </w:pPr>
      <w:r>
        <w:rPr>
          <w:rFonts w:ascii="Aptos" w:hAnsi="Aptos" w:eastAsia="Microsoft YaHei"/>
          <w:b w:val="0"/>
          <w:i w:val="0"/>
          <w:color w:val="1D352C"/>
          <w:sz w:val="21"/>
        </w:rPr>
        <w:t>整合后采用“产品边界清晰、数据链路贯通、委托关系独立”的协同原则。ClawFin 负责财务事实、诊断与执行；ClawTax 负责税务判断和专业文件；八至管理咨询负责场景规则、客户关系、诊断会与治理落地。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700"/>
        <w:gridCol w:w="4600"/>
        <w:gridCol w:w="3060"/>
      </w:tblGrid>
      <w:tr>
        <w:trPr>
          <w:tblHeader w:val="true"/>
        </w:trPr>
        <w:tc>
          <w:tcPr>
            <w:tcW w:type="dxa" w:w="1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0B3B2A"/>
          </w:tcPr>
          <w:p>
            <w:pPr>
              <w:spacing w:after="0"/>
              <w:jc w:val="center"/>
            </w:pPr>
            <w:r>
              <w:rPr>
                <w:rFonts w:ascii="Aptos" w:hAnsi="Aptos" w:eastAsia="Microsoft YaHei"/>
                <w:b/>
                <w:color w:val="FFFFFF"/>
                <w:sz w:val="18"/>
              </w:rPr>
              <w:t>参与方</w:t>
            </w:r>
          </w:p>
        </w:tc>
        <w:tc>
          <w:tcPr>
            <w:tcW w:type="dxa" w:w="46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0B3B2A"/>
          </w:tcPr>
          <w:p>
            <w:pPr>
              <w:spacing w:after="0"/>
              <w:jc w:val="center"/>
            </w:pPr>
            <w:r>
              <w:rPr>
                <w:rFonts w:ascii="Aptos" w:hAnsi="Aptos" w:eastAsia="Microsoft YaHei"/>
                <w:b/>
                <w:color w:val="FFFFFF"/>
                <w:sz w:val="18"/>
              </w:rPr>
              <w:t>主要职责</w:t>
            </w:r>
          </w:p>
        </w:tc>
        <w:tc>
          <w:tcPr>
            <w:tcW w:type="dxa" w:w="30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0B3B2A"/>
          </w:tcPr>
          <w:p>
            <w:pPr>
              <w:spacing w:after="0"/>
              <w:jc w:val="center"/>
            </w:pPr>
            <w:r>
              <w:rPr>
                <w:rFonts w:ascii="Aptos" w:hAnsi="Aptos" w:eastAsia="Microsoft YaHei"/>
                <w:b/>
                <w:color w:val="FFFFFF"/>
                <w:sz w:val="18"/>
              </w:rPr>
              <w:t>不得越界</w:t>
            </w:r>
          </w:p>
        </w:tc>
      </w:tr>
      <w:tr>
        <w:tc>
          <w:tcPr>
            <w:tcW w:type="dxa" w:w="17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ClawFin</w:t>
            </w:r>
          </w:p>
        </w:tc>
        <w:tc>
          <w:tcPr>
            <w:tcW w:type="dxa" w:w="46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财务数据解析、应收应付诊断、汇率分析、关联交易事实包</w:t>
            </w:r>
          </w:p>
        </w:tc>
        <w:tc>
          <w:tcPr>
            <w:tcW w:type="dxa" w:w="306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不签发税务、审计或法律结论</w:t>
            </w:r>
          </w:p>
        </w:tc>
      </w:tr>
      <w:tr>
        <w:tc>
          <w:tcPr>
            <w:tcW w:type="dxa" w:w="17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ClawTax</w:t>
            </w:r>
          </w:p>
        </w:tc>
        <w:tc>
          <w:tcPr>
            <w:tcW w:type="dxa" w:w="46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跨境税务判断、转让定价文件、架构与争议事项</w:t>
            </w:r>
          </w:p>
        </w:tc>
        <w:tc>
          <w:tcPr>
            <w:tcW w:type="dxa" w:w="306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不替代客户日常财务执行</w:t>
            </w:r>
          </w:p>
        </w:tc>
      </w:tr>
      <w:tr>
        <w:tc>
          <w:tcPr>
            <w:tcW w:type="dxa" w:w="17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八至管理咨询</w:t>
            </w:r>
          </w:p>
        </w:tc>
        <w:tc>
          <w:tcPr>
            <w:tcW w:type="dxa" w:w="46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联合推广、CFO诊断、流程治理、客户成功</w:t>
            </w:r>
          </w:p>
        </w:tc>
        <w:tc>
          <w:tcPr>
            <w:tcW w:type="dxa" w:w="306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不在协议未定前承诺固定分成</w:t>
            </w:r>
          </w:p>
        </w:tc>
      </w:tr>
      <w:tr>
        <w:tc>
          <w:tcPr>
            <w:tcW w:type="dxa" w:w="17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客户/专家</w:t>
            </w:r>
          </w:p>
        </w:tc>
        <w:tc>
          <w:tcPr>
            <w:tcW w:type="dxa" w:w="46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确认数据口径、重大金额、建议采纳与签发</w:t>
            </w:r>
          </w:p>
        </w:tc>
        <w:tc>
          <w:tcPr>
            <w:tcW w:type="dxa" w:w="306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不得将自动报告视为专业意见</w:t>
            </w:r>
          </w:p>
        </w:tc>
      </w:tr>
    </w:tbl>
    <w:p>
      <w:pPr>
        <w:keepNext w:val="0"/>
        <w:spacing w:before="0" w:after="60" w:line="307" w:lineRule="auto"/>
      </w:pPr>
      <w:r>
        <w:rPr>
          <w:rFonts w:ascii="Aptos" w:hAnsi="Aptos" w:eastAsia="Microsoft YaHei"/>
          <w:b w:val="0"/>
          <w:i w:val="0"/>
          <w:color w:val="1D352C"/>
          <w:sz w:val="4"/>
        </w:rPr>
      </w:r>
    </w:p>
    <w:p>
      <w:pPr>
        <w:pStyle w:val="Heading2"/>
        <w:keepNext/>
        <w:spacing w:before="240" w:after="120"/>
      </w:pPr>
      <w:r>
        <w:rPr>
          <w:rFonts w:ascii="Aptos" w:hAnsi="Aptos" w:eastAsia="Microsoft YaHei"/>
          <w:b/>
          <w:color w:val="176B4D"/>
          <w:sz w:val="26"/>
        </w:rPr>
        <w:t>4.1 标准转介路径</w:t>
      </w:r>
    </w:p>
    <w:p>
      <w:pPr>
        <w:pStyle w:val="ListNumber"/>
        <w:spacing w:after="80" w:line="293" w:lineRule="auto"/>
      </w:pPr>
      <w:r>
        <w:rPr>
          <w:rFonts w:ascii="Aptos" w:hAnsi="Aptos" w:eastAsia="Microsoft YaHei"/>
          <w:color w:val="1D352C"/>
          <w:sz w:val="20"/>
        </w:rPr>
        <w:t>ClawFin 识别关联交易、长期余额、利润率偏离或跨境结算事项。</w:t>
      </w:r>
    </w:p>
    <w:p>
      <w:pPr>
        <w:pStyle w:val="ListNumber"/>
        <w:spacing w:after="80" w:line="293" w:lineRule="auto"/>
      </w:pPr>
      <w:r>
        <w:rPr>
          <w:rFonts w:ascii="Aptos" w:hAnsi="Aptos" w:eastAsia="Microsoft YaHei"/>
          <w:color w:val="1D352C"/>
          <w:sz w:val="20"/>
        </w:rPr>
        <w:t>系统生成事实摘要、交易清单、合同和财务数据索引。</w:t>
      </w:r>
    </w:p>
    <w:p>
      <w:pPr>
        <w:pStyle w:val="ListNumber"/>
        <w:spacing w:after="80" w:line="293" w:lineRule="auto"/>
      </w:pPr>
      <w:r>
        <w:rPr>
          <w:rFonts w:ascii="Aptos" w:hAnsi="Aptos" w:eastAsia="Microsoft YaHei"/>
          <w:color w:val="1D352C"/>
          <w:sz w:val="20"/>
        </w:rPr>
        <w:t>客户确认授权后创建 ClawTax 转介工单。</w:t>
      </w:r>
    </w:p>
    <w:p>
      <w:pPr>
        <w:pStyle w:val="ListNumber"/>
        <w:spacing w:after="80" w:line="293" w:lineRule="auto"/>
      </w:pPr>
      <w:r>
        <w:rPr>
          <w:rFonts w:ascii="Aptos" w:hAnsi="Aptos" w:eastAsia="Microsoft YaHei"/>
          <w:color w:val="1D352C"/>
          <w:sz w:val="20"/>
        </w:rPr>
        <w:t>ClawTax 独立评估、报价、签约并由合资格专业人员交付。</w:t>
      </w:r>
    </w:p>
    <w:p>
      <w:pPr>
        <w:pStyle w:val="ListNumber"/>
        <w:spacing w:after="80" w:line="293" w:lineRule="auto"/>
      </w:pPr>
      <w:r>
        <w:rPr>
          <w:rFonts w:ascii="Aptos" w:hAnsi="Aptos" w:eastAsia="Microsoft YaHei"/>
          <w:color w:val="1D352C"/>
          <w:sz w:val="20"/>
        </w:rPr>
        <w:t>结论状态回写 ClawFin，但专业意见和责任留在 ClawTax 委托关系内。</w:t>
      </w:r>
    </w:p>
    <w:p>
      <w:r>
        <w:br w:type="page"/>
      </w:r>
    </w:p>
    <w:p>
      <w:pPr>
        <w:pStyle w:val="Heading1"/>
        <w:keepNext/>
        <w:spacing w:before="340" w:after="160"/>
      </w:pPr>
      <w:r>
        <w:rPr>
          <w:rFonts w:ascii="Aptos" w:hAnsi="Aptos" w:eastAsia="Microsoft YaHei"/>
          <w:b/>
          <w:color w:val="0B3B2A"/>
          <w:sz w:val="32"/>
        </w:rPr>
        <w:t>5. 用户交付物与价值闭环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850"/>
        <w:gridCol w:w="3000"/>
        <w:gridCol w:w="3510"/>
      </w:tblGrid>
      <w:tr>
        <w:trPr>
          <w:tblHeader w:val="true"/>
        </w:trPr>
        <w:tc>
          <w:tcPr>
            <w:tcW w:type="dxa" w:w="28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0B3B2A"/>
          </w:tcPr>
          <w:p>
            <w:pPr>
              <w:spacing w:after="0"/>
              <w:jc w:val="center"/>
            </w:pPr>
            <w:r>
              <w:rPr>
                <w:rFonts w:ascii="Aptos" w:hAnsi="Aptos" w:eastAsia="Microsoft YaHei"/>
                <w:b/>
                <w:color w:val="FFFFFF"/>
                <w:sz w:val="18"/>
              </w:rPr>
              <w:t>交付物</w:t>
            </w:r>
          </w:p>
        </w:tc>
        <w:tc>
          <w:tcPr>
            <w:tcW w:type="dxa" w:w="30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0B3B2A"/>
          </w:tcPr>
          <w:p>
            <w:pPr>
              <w:spacing w:after="0"/>
              <w:jc w:val="center"/>
            </w:pPr>
            <w:r>
              <w:rPr>
                <w:rFonts w:ascii="Aptos" w:hAnsi="Aptos" w:eastAsia="Microsoft YaHei"/>
                <w:b/>
                <w:color w:val="FFFFFF"/>
                <w:sz w:val="18"/>
              </w:rPr>
              <w:t>管理用途</w:t>
            </w:r>
          </w:p>
        </w:tc>
        <w:tc>
          <w:tcPr>
            <w:tcW w:type="dxa" w:w="351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0B3B2A"/>
          </w:tcPr>
          <w:p>
            <w:pPr>
              <w:spacing w:after="0"/>
              <w:jc w:val="center"/>
            </w:pPr>
            <w:r>
              <w:rPr>
                <w:rFonts w:ascii="Aptos" w:hAnsi="Aptos" w:eastAsia="Microsoft YaHei"/>
                <w:b/>
                <w:color w:val="FFFFFF"/>
                <w:sz w:val="18"/>
              </w:rPr>
              <w:t>后续动作</w:t>
            </w:r>
          </w:p>
        </w:tc>
      </w:tr>
      <w:tr>
        <w:tc>
          <w:tcPr>
            <w:tcW w:type="dxa" w:w="285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财务健康分与管理摘要</w:t>
            </w:r>
          </w:p>
        </w:tc>
        <w:tc>
          <w:tcPr>
            <w:tcW w:type="dxa" w:w="30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管理层快速判断优先级</w:t>
            </w:r>
          </w:p>
        </w:tc>
        <w:tc>
          <w:tcPr>
            <w:tcW w:type="dxa" w:w="351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启动专项诊断会</w:t>
            </w:r>
          </w:p>
        </w:tc>
      </w:tr>
      <w:tr>
        <w:tc>
          <w:tcPr>
            <w:tcW w:type="dxa" w:w="285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可追回现金/可避免付款</w:t>
            </w:r>
          </w:p>
        </w:tc>
        <w:tc>
          <w:tcPr>
            <w:tcW w:type="dxa" w:w="30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量化 ROI</w:t>
            </w:r>
          </w:p>
        </w:tc>
        <w:tc>
          <w:tcPr>
            <w:tcW w:type="dxa" w:w="351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分配业务与财务责任人</w:t>
            </w:r>
          </w:p>
        </w:tc>
      </w:tr>
      <w:tr>
        <w:tc>
          <w:tcPr>
            <w:tcW w:type="dxa" w:w="285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交易级异常清单</w:t>
            </w:r>
          </w:p>
        </w:tc>
        <w:tc>
          <w:tcPr>
            <w:tcW w:type="dxa" w:w="30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形成可追溯证据链</w:t>
            </w:r>
          </w:p>
        </w:tc>
        <w:tc>
          <w:tcPr>
            <w:tcW w:type="dxa" w:w="351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催收、退款、核销或调查</w:t>
            </w:r>
          </w:p>
        </w:tc>
      </w:tr>
      <w:tr>
        <w:tc>
          <w:tcPr>
            <w:tcW w:type="dxa" w:w="285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汇率一致性报告</w:t>
            </w:r>
          </w:p>
        </w:tc>
        <w:tc>
          <w:tcPr>
            <w:tcW w:type="dxa" w:w="30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解释价差与汇兑损益</w:t>
            </w:r>
          </w:p>
        </w:tc>
        <w:tc>
          <w:tcPr>
            <w:tcW w:type="dxa" w:w="351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调整合同或结算机制</w:t>
            </w:r>
          </w:p>
        </w:tc>
      </w:tr>
      <w:tr>
        <w:tc>
          <w:tcPr>
            <w:tcW w:type="dxa" w:w="285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对账解决方案矩阵</w:t>
            </w:r>
          </w:p>
        </w:tc>
        <w:tc>
          <w:tcPr>
            <w:tcW w:type="dxa" w:w="30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比较资金、账务、轧差路径</w:t>
            </w:r>
          </w:p>
        </w:tc>
        <w:tc>
          <w:tcPr>
            <w:tcW w:type="dxa" w:w="351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提交人工与专业复核</w:t>
            </w:r>
          </w:p>
        </w:tc>
      </w:tr>
      <w:tr>
        <w:tc>
          <w:tcPr>
            <w:tcW w:type="dxa" w:w="285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30天行动清单</w:t>
            </w:r>
          </w:p>
        </w:tc>
        <w:tc>
          <w:tcPr>
            <w:tcW w:type="dxa" w:w="30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把报告转为任务</w:t>
            </w:r>
          </w:p>
        </w:tc>
        <w:tc>
          <w:tcPr>
            <w:tcW w:type="dxa" w:w="351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持续监控完成率</w:t>
            </w:r>
          </w:p>
        </w:tc>
      </w:tr>
      <w:tr>
        <w:tc>
          <w:tcPr>
            <w:tcW w:type="dxa" w:w="285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TP 数据准备包</w:t>
            </w:r>
          </w:p>
        </w:tc>
        <w:tc>
          <w:tcPr>
            <w:tcW w:type="dxa" w:w="30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减少专业服务资料整理</w:t>
            </w:r>
          </w:p>
        </w:tc>
        <w:tc>
          <w:tcPr>
            <w:tcW w:type="dxa" w:w="351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转介 ClawTax</w:t>
            </w:r>
          </w:p>
        </w:tc>
      </w:tr>
    </w:tbl>
    <w:p>
      <w:pPr>
        <w:keepNext w:val="0"/>
        <w:spacing w:before="0" w:after="60" w:line="307" w:lineRule="auto"/>
      </w:pPr>
      <w:r>
        <w:rPr>
          <w:rFonts w:ascii="Aptos" w:hAnsi="Aptos" w:eastAsia="Microsoft YaHei"/>
          <w:b w:val="0"/>
          <w:i w:val="0"/>
          <w:color w:val="1D352C"/>
          <w:sz w:val="4"/>
        </w:rPr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AF5EE"/>
          </w:tcPr>
          <w:p>
            <w:pPr>
              <w:spacing w:after="0" w:line="288" w:lineRule="auto"/>
            </w:pPr>
            <w:r>
              <w:rPr>
                <w:rFonts w:ascii="Aptos" w:hAnsi="Aptos" w:eastAsia="Microsoft YaHei"/>
                <w:b/>
                <w:color w:val="176B4D"/>
                <w:sz w:val="20"/>
              </w:rPr>
              <w:t>关键体验｜</w:t>
            </w:r>
            <w:r>
              <w:rPr>
                <w:rFonts w:ascii="Aptos" w:hAnsi="Aptos" w:eastAsia="Microsoft YaHei"/>
                <w:color w:val="1D352C"/>
                <w:sz w:val="20"/>
              </w:rPr>
              <w:t>网站免费扫描只显示总分、金额区间和问题方向；付费报告才提供交易级定位、证据链、责任人和处理建议，避免免费功能透支专业价值。</w:t>
            </w:r>
          </w:p>
        </w:tc>
      </w:tr>
    </w:tbl>
    <w:p>
      <w:pPr>
        <w:keepNext w:val="0"/>
        <w:spacing w:before="0" w:after="40" w:line="307" w:lineRule="auto"/>
      </w:pPr>
      <w:r>
        <w:rPr>
          <w:rFonts w:ascii="Aptos" w:hAnsi="Aptos" w:eastAsia="Microsoft YaHei"/>
          <w:b w:val="0"/>
          <w:i w:val="0"/>
          <w:color w:val="1D352C"/>
          <w:sz w:val="4"/>
        </w:rPr>
      </w:r>
    </w:p>
    <w:p>
      <w:r>
        <w:br w:type="page"/>
      </w:r>
    </w:p>
    <w:p>
      <w:pPr>
        <w:pStyle w:val="Heading1"/>
        <w:keepNext/>
        <w:spacing w:before="340" w:after="160"/>
      </w:pPr>
      <w:r>
        <w:rPr>
          <w:rFonts w:ascii="Aptos" w:hAnsi="Aptos" w:eastAsia="Microsoft YaHei"/>
          <w:b/>
          <w:color w:val="0B3B2A"/>
          <w:sz w:val="32"/>
        </w:rPr>
        <w:t>6. 商业模式与定价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000"/>
        <w:gridCol w:w="3260"/>
        <w:gridCol w:w="2500"/>
        <w:gridCol w:w="2600"/>
      </w:tblGrid>
      <w:tr>
        <w:trPr>
          <w:tblHeader w:val="true"/>
        </w:trPr>
        <w:tc>
          <w:tcPr>
            <w:tcW w:type="dxa" w:w="10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0B3B2A"/>
          </w:tcPr>
          <w:p>
            <w:pPr>
              <w:spacing w:after="0"/>
              <w:jc w:val="center"/>
            </w:pPr>
            <w:r>
              <w:rPr>
                <w:rFonts w:ascii="Aptos" w:hAnsi="Aptos" w:eastAsia="Microsoft YaHei"/>
                <w:b/>
                <w:color w:val="FFFFFF"/>
                <w:sz w:val="18"/>
              </w:rPr>
              <w:t>层级</w:t>
            </w:r>
          </w:p>
        </w:tc>
        <w:tc>
          <w:tcPr>
            <w:tcW w:type="dxa" w:w="32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0B3B2A"/>
          </w:tcPr>
          <w:p>
            <w:pPr>
              <w:spacing w:after="0"/>
              <w:jc w:val="center"/>
            </w:pPr>
            <w:r>
              <w:rPr>
                <w:rFonts w:ascii="Aptos" w:hAnsi="Aptos" w:eastAsia="Microsoft YaHei"/>
                <w:b/>
                <w:color w:val="FFFFFF"/>
                <w:sz w:val="18"/>
              </w:rPr>
              <w:t>产品</w:t>
            </w:r>
          </w:p>
        </w:tc>
        <w:tc>
          <w:tcPr>
            <w:tcW w:type="dxa" w:w="25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0B3B2A"/>
          </w:tcPr>
          <w:p>
            <w:pPr>
              <w:spacing w:after="0"/>
              <w:jc w:val="center"/>
            </w:pPr>
            <w:r>
              <w:rPr>
                <w:rFonts w:ascii="Aptos" w:hAnsi="Aptos" w:eastAsia="Microsoft YaHei"/>
                <w:b/>
                <w:color w:val="FFFFFF"/>
                <w:sz w:val="18"/>
              </w:rPr>
              <w:t>建议价格</w:t>
            </w:r>
          </w:p>
        </w:tc>
        <w:tc>
          <w:tcPr>
            <w:tcW w:type="dxa" w:w="26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0B3B2A"/>
          </w:tcPr>
          <w:p>
            <w:pPr>
              <w:spacing w:after="0"/>
              <w:jc w:val="center"/>
            </w:pPr>
            <w:r>
              <w:rPr>
                <w:rFonts w:ascii="Aptos" w:hAnsi="Aptos" w:eastAsia="Microsoft YaHei"/>
                <w:b/>
                <w:color w:val="FFFFFF"/>
                <w:sz w:val="18"/>
              </w:rPr>
              <w:t>商业目的</w:t>
            </w:r>
          </w:p>
        </w:tc>
      </w:tr>
      <w:tr>
        <w:tc>
          <w:tcPr>
            <w:tcW w:type="dxa" w:w="10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免费</w:t>
            </w:r>
          </w:p>
        </w:tc>
        <w:tc>
          <w:tcPr>
            <w:tcW w:type="dxa" w:w="326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单份账龄表健康扫描</w:t>
            </w:r>
          </w:p>
        </w:tc>
        <w:tc>
          <w:tcPr>
            <w:tcW w:type="dxa" w:w="25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HK$0</w:t>
            </w:r>
          </w:p>
        </w:tc>
        <w:tc>
          <w:tcPr>
            <w:tcW w:type="dxa" w:w="26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获客与资格筛选</w:t>
            </w:r>
          </w:p>
        </w:tc>
      </w:tr>
      <w:tr>
        <w:tc>
          <w:tcPr>
            <w:tcW w:type="dxa" w:w="10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报告</w:t>
            </w:r>
          </w:p>
        </w:tc>
        <w:tc>
          <w:tcPr>
            <w:tcW w:type="dxa" w:w="326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应收/应付/汇率/往来专项诊断</w:t>
            </w:r>
          </w:p>
        </w:tc>
        <w:tc>
          <w:tcPr>
            <w:tcW w:type="dxa" w:w="25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HK$8,000–25,000/次</w:t>
            </w:r>
          </w:p>
        </w:tc>
        <w:tc>
          <w:tcPr>
            <w:tcW w:type="dxa" w:w="26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快速变现</w:t>
            </w:r>
          </w:p>
        </w:tc>
      </w:tr>
      <w:tr>
        <w:tc>
          <w:tcPr>
            <w:tcW w:type="dxa" w:w="10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回款</w:t>
            </w:r>
          </w:p>
        </w:tc>
        <w:tc>
          <w:tcPr>
            <w:tcW w:type="dxa" w:w="326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重点应收清理项目</w:t>
            </w:r>
          </w:p>
        </w:tc>
        <w:tc>
          <w:tcPr>
            <w:tcW w:type="dxa" w:w="25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基础费 + 回收额1%–3%</w:t>
            </w:r>
          </w:p>
        </w:tc>
        <w:tc>
          <w:tcPr>
            <w:tcW w:type="dxa" w:w="26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与结果绑定</w:t>
            </w:r>
          </w:p>
        </w:tc>
      </w:tr>
      <w:tr>
        <w:tc>
          <w:tcPr>
            <w:tcW w:type="dxa" w:w="10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订阅</w:t>
            </w:r>
          </w:p>
        </w:tc>
        <w:tc>
          <w:tcPr>
            <w:tcW w:type="dxa" w:w="326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多主体持续监控</w:t>
            </w:r>
          </w:p>
        </w:tc>
        <w:tc>
          <w:tcPr>
            <w:tcW w:type="dxa" w:w="25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HK$6,000–30,000/月</w:t>
            </w:r>
          </w:p>
        </w:tc>
        <w:tc>
          <w:tcPr>
            <w:tcW w:type="dxa" w:w="26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经常性收入</w:t>
            </w:r>
          </w:p>
        </w:tc>
      </w:tr>
      <w:tr>
        <w:tc>
          <w:tcPr>
            <w:tcW w:type="dxa" w:w="10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企业</w:t>
            </w:r>
          </w:p>
        </w:tc>
        <w:tc>
          <w:tcPr>
            <w:tcW w:type="dxa" w:w="326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ERP连接、权限、私有部署</w:t>
            </w:r>
          </w:p>
        </w:tc>
        <w:tc>
          <w:tcPr>
            <w:tcW w:type="dxa" w:w="25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HK$250,000起/年</w:t>
            </w:r>
          </w:p>
        </w:tc>
        <w:tc>
          <w:tcPr>
            <w:tcW w:type="dxa" w:w="26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高客单价和粘性</w:t>
            </w:r>
          </w:p>
        </w:tc>
      </w:tr>
      <w:tr>
        <w:tc>
          <w:tcPr>
            <w:tcW w:type="dxa" w:w="10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专业</w:t>
            </w:r>
          </w:p>
        </w:tc>
        <w:tc>
          <w:tcPr>
            <w:tcW w:type="dxa" w:w="326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税务及转让定价</w:t>
            </w:r>
          </w:p>
        </w:tc>
        <w:tc>
          <w:tcPr>
            <w:tcW w:type="dxa" w:w="25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由ClawTax独立报价</w:t>
            </w:r>
          </w:p>
        </w:tc>
        <w:tc>
          <w:tcPr>
            <w:tcW w:type="dxa" w:w="26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专业承接或转介分成</w:t>
            </w:r>
          </w:p>
        </w:tc>
      </w:tr>
    </w:tbl>
    <w:p>
      <w:pPr>
        <w:keepNext w:val="0"/>
        <w:spacing w:before="0" w:after="60" w:line="307" w:lineRule="auto"/>
      </w:pPr>
      <w:r>
        <w:rPr>
          <w:rFonts w:ascii="Aptos" w:hAnsi="Aptos" w:eastAsia="Microsoft YaHei"/>
          <w:b w:val="0"/>
          <w:i w:val="0"/>
          <w:color w:val="1D352C"/>
          <w:sz w:val="4"/>
        </w:rPr>
      </w:r>
    </w:p>
    <w:p>
      <w:pPr>
        <w:pStyle w:val="Heading2"/>
        <w:keepNext/>
        <w:spacing w:before="240" w:after="120"/>
      </w:pPr>
      <w:r>
        <w:rPr>
          <w:rFonts w:ascii="Aptos" w:hAnsi="Aptos" w:eastAsia="Microsoft YaHei"/>
          <w:b/>
          <w:color w:val="176B4D"/>
          <w:sz w:val="26"/>
        </w:rPr>
        <w:t>6.1 单位经济目标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000"/>
        <w:gridCol w:w="2100"/>
        <w:gridCol w:w="4260"/>
      </w:tblGrid>
      <w:tr>
        <w:trPr>
          <w:tblHeader w:val="true"/>
        </w:trPr>
        <w:tc>
          <w:tcPr>
            <w:tcW w:type="dxa" w:w="30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0B3B2A"/>
          </w:tcPr>
          <w:p>
            <w:pPr>
              <w:spacing w:after="0"/>
              <w:jc w:val="center"/>
            </w:pPr>
            <w:r>
              <w:rPr>
                <w:rFonts w:ascii="Aptos" w:hAnsi="Aptos" w:eastAsia="Microsoft YaHei"/>
                <w:b/>
                <w:color w:val="FFFFFF"/>
                <w:sz w:val="18"/>
              </w:rPr>
              <w:t>指标</w:t>
            </w:r>
          </w:p>
        </w:tc>
        <w:tc>
          <w:tcPr>
            <w:tcW w:type="dxa" w:w="21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0B3B2A"/>
          </w:tcPr>
          <w:p>
            <w:pPr>
              <w:spacing w:after="0"/>
              <w:jc w:val="center"/>
            </w:pPr>
            <w:r>
              <w:rPr>
                <w:rFonts w:ascii="Aptos" w:hAnsi="Aptos" w:eastAsia="Microsoft YaHei"/>
                <w:b/>
                <w:color w:val="FFFFFF"/>
                <w:sz w:val="18"/>
              </w:rPr>
              <w:t>目标</w:t>
            </w:r>
          </w:p>
        </w:tc>
        <w:tc>
          <w:tcPr>
            <w:tcW w:type="dxa" w:w="42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0B3B2A"/>
          </w:tcPr>
          <w:p>
            <w:pPr>
              <w:spacing w:after="0"/>
              <w:jc w:val="center"/>
            </w:pPr>
            <w:r>
              <w:rPr>
                <w:rFonts w:ascii="Aptos" w:hAnsi="Aptos" w:eastAsia="Microsoft YaHei"/>
                <w:b/>
                <w:color w:val="FFFFFF"/>
                <w:sz w:val="18"/>
              </w:rPr>
              <w:t>含义</w:t>
            </w:r>
          </w:p>
        </w:tc>
      </w:tr>
      <w:tr>
        <w:tc>
          <w:tcPr>
            <w:tcW w:type="dxa" w:w="30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首次付费诊断客单价</w:t>
            </w:r>
          </w:p>
        </w:tc>
        <w:tc>
          <w:tcPr>
            <w:tcW w:type="dxa" w:w="21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HK$16,000</w:t>
            </w:r>
          </w:p>
        </w:tc>
        <w:tc>
          <w:tcPr>
            <w:tcW w:type="dxa" w:w="426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覆盖人工复核和销售成本</w:t>
            </w:r>
          </w:p>
        </w:tc>
      </w:tr>
      <w:tr>
        <w:tc>
          <w:tcPr>
            <w:tcW w:type="dxa" w:w="30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订阅平均月费</w:t>
            </w:r>
          </w:p>
        </w:tc>
        <w:tc>
          <w:tcPr>
            <w:tcW w:type="dxa" w:w="21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HK$13,000</w:t>
            </w:r>
          </w:p>
        </w:tc>
        <w:tc>
          <w:tcPr>
            <w:tcW w:type="dxa" w:w="426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适合2–5个主体</w:t>
            </w:r>
          </w:p>
        </w:tc>
      </w:tr>
      <w:tr>
        <w:tc>
          <w:tcPr>
            <w:tcW w:type="dxa" w:w="30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诊断至订阅转化</w:t>
            </w:r>
          </w:p>
        </w:tc>
        <w:tc>
          <w:tcPr>
            <w:tcW w:type="dxa" w:w="21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25%–35%</w:t>
            </w:r>
          </w:p>
        </w:tc>
        <w:tc>
          <w:tcPr>
            <w:tcW w:type="dxa" w:w="426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用量化回报推动升级</w:t>
            </w:r>
          </w:p>
        </w:tc>
      </w:tr>
      <w:tr>
        <w:tc>
          <w:tcPr>
            <w:tcW w:type="dxa" w:w="30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订阅毛利率</w:t>
            </w:r>
          </w:p>
        </w:tc>
        <w:tc>
          <w:tcPr>
            <w:tcW w:type="dxa" w:w="21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70%+</w:t>
            </w:r>
          </w:p>
        </w:tc>
        <w:tc>
          <w:tcPr>
            <w:tcW w:type="dxa" w:w="426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规则与交付标准化</w:t>
            </w:r>
          </w:p>
        </w:tc>
      </w:tr>
      <w:tr>
        <w:tc>
          <w:tcPr>
            <w:tcW w:type="dxa" w:w="30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销售回收期</w:t>
            </w:r>
          </w:p>
        </w:tc>
        <w:tc>
          <w:tcPr>
            <w:tcW w:type="dxa" w:w="21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&lt;6个月</w:t>
            </w:r>
          </w:p>
        </w:tc>
        <w:tc>
          <w:tcPr>
            <w:tcW w:type="dxa" w:w="426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优先伙伴与存量客户</w:t>
            </w:r>
          </w:p>
        </w:tc>
      </w:tr>
      <w:tr>
        <w:tc>
          <w:tcPr>
            <w:tcW w:type="dxa" w:w="30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年度流失率</w:t>
            </w:r>
          </w:p>
        </w:tc>
        <w:tc>
          <w:tcPr>
            <w:tcW w:type="dxa" w:w="21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&lt;12%</w:t>
            </w:r>
          </w:p>
        </w:tc>
        <w:tc>
          <w:tcPr>
            <w:tcW w:type="dxa" w:w="426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依靠月结、汇率与TP数据粘性</w:t>
            </w:r>
          </w:p>
        </w:tc>
      </w:tr>
    </w:tbl>
    <w:p>
      <w:pPr>
        <w:keepNext w:val="0"/>
        <w:spacing w:before="0" w:after="60" w:line="307" w:lineRule="auto"/>
      </w:pPr>
      <w:r>
        <w:rPr>
          <w:rFonts w:ascii="Aptos" w:hAnsi="Aptos" w:eastAsia="Microsoft YaHei"/>
          <w:b w:val="0"/>
          <w:i w:val="0"/>
          <w:color w:val="1D352C"/>
          <w:sz w:val="4"/>
        </w:rPr>
      </w:r>
    </w:p>
    <w:p>
      <w:r>
        <w:br w:type="page"/>
      </w:r>
    </w:p>
    <w:p>
      <w:pPr>
        <w:pStyle w:val="Heading1"/>
        <w:keepNext/>
        <w:spacing w:before="340" w:after="160"/>
      </w:pPr>
      <w:r>
        <w:rPr>
          <w:rFonts w:ascii="Aptos" w:hAnsi="Aptos" w:eastAsia="Microsoft YaHei"/>
          <w:b/>
          <w:color w:val="0B3B2A"/>
          <w:sz w:val="32"/>
        </w:rPr>
        <w:t>7. 获客与销售策略</w:t>
      </w:r>
    </w:p>
    <w:p>
      <w:pPr>
        <w:pStyle w:val="Heading2"/>
        <w:keepNext/>
        <w:spacing w:before="240" w:after="120"/>
      </w:pPr>
      <w:r>
        <w:rPr>
          <w:rFonts w:ascii="Aptos" w:hAnsi="Aptos" w:eastAsia="Microsoft YaHei"/>
          <w:b/>
          <w:color w:val="176B4D"/>
          <w:sz w:val="26"/>
        </w:rPr>
        <w:t>7.1 标准获客漏斗</w:t>
      </w:r>
    </w:p>
    <w:p>
      <w:pPr>
        <w:pStyle w:val="ListNumber"/>
        <w:spacing w:after="80" w:line="293" w:lineRule="auto"/>
      </w:pPr>
      <w:r>
        <w:rPr>
          <w:rFonts w:ascii="Aptos" w:hAnsi="Aptos" w:eastAsia="Microsoft YaHei"/>
          <w:color w:val="1D352C"/>
          <w:sz w:val="20"/>
        </w:rPr>
        <w:t>免费上传应收账龄表，生成现金健康分和汇率风险提示。</w:t>
      </w:r>
    </w:p>
    <w:p>
      <w:pPr>
        <w:pStyle w:val="ListNumber"/>
        <w:spacing w:after="80" w:line="293" w:lineRule="auto"/>
      </w:pPr>
      <w:r>
        <w:rPr>
          <w:rFonts w:ascii="Aptos" w:hAnsi="Aptos" w:eastAsia="Microsoft YaHei"/>
          <w:color w:val="1D352C"/>
          <w:sz w:val="20"/>
        </w:rPr>
        <w:t>以可释放现金区间和三项关键异常触发管理层兴趣。</w:t>
      </w:r>
    </w:p>
    <w:p>
      <w:pPr>
        <w:pStyle w:val="ListNumber"/>
        <w:spacing w:after="80" w:line="293" w:lineRule="auto"/>
      </w:pPr>
      <w:r>
        <w:rPr>
          <w:rFonts w:ascii="Aptos" w:hAnsi="Aptos" w:eastAsia="Microsoft YaHei"/>
          <w:color w:val="1D352C"/>
          <w:sz w:val="20"/>
        </w:rPr>
        <w:t>八至顾问完成30分钟诊断会，确认数据范围和责任边界。</w:t>
      </w:r>
    </w:p>
    <w:p>
      <w:pPr>
        <w:pStyle w:val="ListNumber"/>
        <w:spacing w:after="80" w:line="293" w:lineRule="auto"/>
      </w:pPr>
      <w:r>
        <w:rPr>
          <w:rFonts w:ascii="Aptos" w:hAnsi="Aptos" w:eastAsia="Microsoft YaHei"/>
          <w:color w:val="1D352C"/>
          <w:sz w:val="20"/>
        </w:rPr>
        <w:t>以固定价格交付首次专项报告，证明可量化价值。</w:t>
      </w:r>
    </w:p>
    <w:p>
      <w:pPr>
        <w:pStyle w:val="ListNumber"/>
        <w:spacing w:after="80" w:line="293" w:lineRule="auto"/>
      </w:pPr>
      <w:r>
        <w:rPr>
          <w:rFonts w:ascii="Aptos" w:hAnsi="Aptos" w:eastAsia="Microsoft YaHei"/>
          <w:color w:val="1D352C"/>
          <w:sz w:val="20"/>
        </w:rPr>
        <w:t>升级月度监控；税务与TP事项转交 ClawTax。</w:t>
      </w:r>
    </w:p>
    <w:p>
      <w:pPr>
        <w:pStyle w:val="Heading2"/>
        <w:keepNext/>
        <w:spacing w:before="240" w:after="120"/>
      </w:pPr>
      <w:r>
        <w:rPr>
          <w:rFonts w:ascii="Aptos" w:hAnsi="Aptos" w:eastAsia="Microsoft YaHei"/>
          <w:b/>
          <w:color w:val="176B4D"/>
          <w:sz w:val="26"/>
        </w:rPr>
        <w:t>7.2 渠道组合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000"/>
        <w:gridCol w:w="4100"/>
        <w:gridCol w:w="3260"/>
      </w:tblGrid>
      <w:tr>
        <w:trPr>
          <w:tblHeader w:val="true"/>
        </w:trPr>
        <w:tc>
          <w:tcPr>
            <w:tcW w:type="dxa" w:w="20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0B3B2A"/>
          </w:tcPr>
          <w:p>
            <w:pPr>
              <w:spacing w:after="0"/>
              <w:jc w:val="center"/>
            </w:pPr>
            <w:r>
              <w:rPr>
                <w:rFonts w:ascii="Aptos" w:hAnsi="Aptos" w:eastAsia="Microsoft YaHei"/>
                <w:b/>
                <w:color w:val="FFFFFF"/>
                <w:sz w:val="18"/>
              </w:rPr>
              <w:t>渠道</w:t>
            </w:r>
          </w:p>
        </w:tc>
        <w:tc>
          <w:tcPr>
            <w:tcW w:type="dxa" w:w="41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0B3B2A"/>
          </w:tcPr>
          <w:p>
            <w:pPr>
              <w:spacing w:after="0"/>
              <w:jc w:val="center"/>
            </w:pPr>
            <w:r>
              <w:rPr>
                <w:rFonts w:ascii="Aptos" w:hAnsi="Aptos" w:eastAsia="Microsoft YaHei"/>
                <w:b/>
                <w:color w:val="FFFFFF"/>
                <w:sz w:val="18"/>
              </w:rPr>
              <w:t>动作</w:t>
            </w:r>
          </w:p>
        </w:tc>
        <w:tc>
          <w:tcPr>
            <w:tcW w:type="dxa" w:w="32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0B3B2A"/>
          </w:tcPr>
          <w:p>
            <w:pPr>
              <w:spacing w:after="0"/>
              <w:jc w:val="center"/>
            </w:pPr>
            <w:r>
              <w:rPr>
                <w:rFonts w:ascii="Aptos" w:hAnsi="Aptos" w:eastAsia="Microsoft YaHei"/>
                <w:b/>
                <w:color w:val="FFFFFF"/>
                <w:sz w:val="18"/>
              </w:rPr>
              <w:t>控制原则</w:t>
            </w:r>
          </w:p>
        </w:tc>
      </w:tr>
      <w:tr>
        <w:tc>
          <w:tcPr>
            <w:tcW w:type="dxa" w:w="20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八至管理咨询</w:t>
            </w:r>
          </w:p>
        </w:tc>
        <w:tc>
          <w:tcPr>
            <w:tcW w:type="dxa" w:w="41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私享会、高管工作坊、价值链诊断</w:t>
            </w:r>
          </w:p>
        </w:tc>
        <w:tc>
          <w:tcPr>
            <w:tcW w:type="dxa" w:w="326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首年核心渠道，占比逐步降至&lt;40%</w:t>
            </w:r>
          </w:p>
        </w:tc>
      </w:tr>
      <w:tr>
        <w:tc>
          <w:tcPr>
            <w:tcW w:type="dxa" w:w="20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会计师事务所</w:t>
            </w:r>
          </w:p>
        </w:tc>
        <w:tc>
          <w:tcPr>
            <w:tcW w:type="dxa" w:w="41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白标扫描、审计前清账、TP数据准备</w:t>
            </w:r>
          </w:p>
        </w:tc>
        <w:tc>
          <w:tcPr>
            <w:tcW w:type="dxa" w:w="326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项目分成或席位订阅</w:t>
            </w:r>
          </w:p>
        </w:tc>
      </w:tr>
      <w:tr>
        <w:tc>
          <w:tcPr>
            <w:tcW w:type="dxa" w:w="20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ClawTax</w:t>
            </w:r>
          </w:p>
        </w:tc>
        <w:tc>
          <w:tcPr>
            <w:tcW w:type="dxa" w:w="41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税务客户反向导入财务清理</w:t>
            </w:r>
          </w:p>
        </w:tc>
        <w:tc>
          <w:tcPr>
            <w:tcW w:type="dxa" w:w="326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双向交叉销售</w:t>
            </w:r>
          </w:p>
        </w:tc>
      </w:tr>
      <w:tr>
        <w:tc>
          <w:tcPr>
            <w:tcW w:type="dxa" w:w="20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CFO社群</w:t>
            </w:r>
          </w:p>
        </w:tc>
        <w:tc>
          <w:tcPr>
            <w:tcW w:type="dxa" w:w="41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账龄与汇率案例内容</w:t>
            </w:r>
          </w:p>
        </w:tc>
        <w:tc>
          <w:tcPr>
            <w:tcW w:type="dxa" w:w="326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以诊断名额换线索</w:t>
            </w:r>
          </w:p>
        </w:tc>
      </w:tr>
      <w:tr>
        <w:tc>
          <w:tcPr>
            <w:tcW w:type="dxa" w:w="20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ERP/银行伙伴</w:t>
            </w:r>
          </w:p>
        </w:tc>
        <w:tc>
          <w:tcPr>
            <w:tcW w:type="dxa" w:w="41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异常诊断层与客户增值服务</w:t>
            </w:r>
          </w:p>
        </w:tc>
        <w:tc>
          <w:tcPr>
            <w:tcW w:type="dxa" w:w="326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不替换核心系统</w:t>
            </w:r>
          </w:p>
        </w:tc>
      </w:tr>
    </w:tbl>
    <w:p>
      <w:pPr>
        <w:keepNext w:val="0"/>
        <w:spacing w:before="0" w:after="60" w:line="307" w:lineRule="auto"/>
      </w:pPr>
      <w:r>
        <w:rPr>
          <w:rFonts w:ascii="Aptos" w:hAnsi="Aptos" w:eastAsia="Microsoft YaHei"/>
          <w:b w:val="0"/>
          <w:i w:val="0"/>
          <w:color w:val="1D352C"/>
          <w:sz w:val="4"/>
        </w:rPr>
      </w:r>
    </w:p>
    <w:p>
      <w:r>
        <w:br w:type="page"/>
      </w:r>
    </w:p>
    <w:p>
      <w:pPr>
        <w:pStyle w:val="Heading1"/>
        <w:keepNext/>
        <w:spacing w:before="340" w:after="160"/>
      </w:pPr>
      <w:r>
        <w:rPr>
          <w:rFonts w:ascii="Aptos" w:hAnsi="Aptos" w:eastAsia="Microsoft YaHei"/>
          <w:b/>
          <w:color w:val="0B3B2A"/>
          <w:sz w:val="32"/>
        </w:rPr>
        <w:t>8. 技术架构与多智能体设计</w:t>
      </w:r>
    </w:p>
    <w:p>
      <w:pPr>
        <w:pStyle w:val="Heading2"/>
        <w:keepNext/>
        <w:spacing w:before="240" w:after="120"/>
      </w:pPr>
      <w:r>
        <w:rPr>
          <w:rFonts w:ascii="Aptos" w:hAnsi="Aptos" w:eastAsia="Microsoft YaHei"/>
          <w:b/>
          <w:color w:val="176B4D"/>
          <w:sz w:val="26"/>
        </w:rPr>
        <w:t>8.1 技术原则</w:t>
      </w:r>
    </w:p>
    <w:p>
      <w:pPr>
        <w:pStyle w:val="ListBullet"/>
        <w:spacing w:after="80" w:line="293" w:lineRule="auto"/>
      </w:pPr>
      <w:r>
        <w:rPr>
          <w:rFonts w:ascii="Aptos" w:hAnsi="Aptos" w:eastAsia="Microsoft YaHei"/>
          <w:color w:val="1D352C"/>
          <w:sz w:val="20"/>
        </w:rPr>
        <w:t>确定性规则优先：金额、日期、账龄、双边余额、重复付款和汇率不交给模型猜测。</w:t>
      </w:r>
    </w:p>
    <w:p>
      <w:pPr>
        <w:pStyle w:val="ListBullet"/>
        <w:spacing w:after="80" w:line="293" w:lineRule="auto"/>
      </w:pPr>
      <w:r>
        <w:rPr>
          <w:rFonts w:ascii="Aptos" w:hAnsi="Aptos" w:eastAsia="Microsoft YaHei"/>
          <w:color w:val="1D352C"/>
          <w:sz w:val="20"/>
        </w:rPr>
        <w:t>AI 负责非结构化：文件读取、条款提取、异常解释、任务摘要和沟通草稿。</w:t>
      </w:r>
    </w:p>
    <w:p>
      <w:pPr>
        <w:pStyle w:val="ListBullet"/>
        <w:spacing w:after="80" w:line="293" w:lineRule="auto"/>
      </w:pPr>
      <w:r>
        <w:rPr>
          <w:rFonts w:ascii="Aptos" w:hAnsi="Aptos" w:eastAsia="Microsoft YaHei"/>
          <w:color w:val="1D352C"/>
          <w:sz w:val="20"/>
        </w:rPr>
        <w:t>渐进式集成：先文件和标准模板，验证价值后再连接 ERP 与银行。</w:t>
      </w:r>
    </w:p>
    <w:p>
      <w:pPr>
        <w:pStyle w:val="ListBullet"/>
        <w:spacing w:after="80" w:line="293" w:lineRule="auto"/>
      </w:pPr>
      <w:r>
        <w:rPr>
          <w:rFonts w:ascii="Aptos" w:hAnsi="Aptos" w:eastAsia="Microsoft YaHei"/>
          <w:color w:val="1D352C"/>
          <w:sz w:val="20"/>
        </w:rPr>
        <w:t>全链路可追溯：原始文件、解析结果、规则结果、AI解释和人工修改分层存储。</w:t>
      </w:r>
    </w:p>
    <w:p>
      <w:pPr>
        <w:pStyle w:val="ListBullet"/>
        <w:spacing w:after="80" w:line="293" w:lineRule="auto"/>
      </w:pPr>
      <w:r>
        <w:rPr>
          <w:rFonts w:ascii="Aptos" w:hAnsi="Aptos" w:eastAsia="Microsoft YaHei"/>
          <w:color w:val="1D352C"/>
          <w:sz w:val="20"/>
        </w:rPr>
        <w:t>人工复核关口：重大金额、汇率选择、对外报告和所有税务判断必须复核。</w:t>
      </w:r>
    </w:p>
    <w:p>
      <w:pPr>
        <w:pStyle w:val="Heading2"/>
        <w:keepNext/>
        <w:spacing w:before="240" w:after="120"/>
      </w:pPr>
      <w:r>
        <w:rPr>
          <w:rFonts w:ascii="Aptos" w:hAnsi="Aptos" w:eastAsia="Microsoft YaHei"/>
          <w:b/>
          <w:color w:val="176B4D"/>
          <w:sz w:val="26"/>
        </w:rPr>
        <w:t>8.2 专业化智能体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4960"/>
        <w:gridCol w:w="1900"/>
      </w:tblGrid>
      <w:tr>
        <w:trPr>
          <w:tblHeader w:val="true"/>
        </w:trPr>
        <w:tc>
          <w:tcPr>
            <w:tcW w:type="dxa" w:w="25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0B3B2A"/>
          </w:tcPr>
          <w:p>
            <w:pPr>
              <w:spacing w:after="0"/>
              <w:jc w:val="center"/>
            </w:pPr>
            <w:r>
              <w:rPr>
                <w:rFonts w:ascii="Aptos" w:hAnsi="Aptos" w:eastAsia="Microsoft YaHei"/>
                <w:b/>
                <w:color w:val="FFFFFF"/>
                <w:sz w:val="18"/>
              </w:rPr>
              <w:t>智能体</w:t>
            </w:r>
          </w:p>
        </w:tc>
        <w:tc>
          <w:tcPr>
            <w:tcW w:type="dxa" w:w="49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0B3B2A"/>
          </w:tcPr>
          <w:p>
            <w:pPr>
              <w:spacing w:after="0"/>
              <w:jc w:val="center"/>
            </w:pPr>
            <w:r>
              <w:rPr>
                <w:rFonts w:ascii="Aptos" w:hAnsi="Aptos" w:eastAsia="Microsoft YaHei"/>
                <w:b/>
                <w:color w:val="FFFFFF"/>
                <w:sz w:val="18"/>
              </w:rPr>
              <w:t>职责</w:t>
            </w:r>
          </w:p>
        </w:tc>
        <w:tc>
          <w:tcPr>
            <w:tcW w:type="dxa" w:w="19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0B3B2A"/>
          </w:tcPr>
          <w:p>
            <w:pPr>
              <w:spacing w:after="0"/>
              <w:jc w:val="center"/>
            </w:pPr>
            <w:r>
              <w:rPr>
                <w:rFonts w:ascii="Aptos" w:hAnsi="Aptos" w:eastAsia="Microsoft YaHei"/>
                <w:b/>
                <w:color w:val="FFFFFF"/>
                <w:sz w:val="18"/>
              </w:rPr>
              <w:t>自主程度</w:t>
            </w:r>
          </w:p>
        </w:tc>
      </w:tr>
      <w:tr>
        <w:tc>
          <w:tcPr>
            <w:tcW w:type="dxa" w:w="25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数据提取 Agent</w:t>
            </w:r>
          </w:p>
        </w:tc>
        <w:tc>
          <w:tcPr>
            <w:tcW w:type="dxa" w:w="496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解析账龄表、发票、合同、流水</w:t>
            </w:r>
          </w:p>
        </w:tc>
        <w:tc>
          <w:tcPr>
            <w:tcW w:type="dxa" w:w="19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高</w:t>
            </w:r>
          </w:p>
        </w:tc>
      </w:tr>
      <w:tr>
        <w:tc>
          <w:tcPr>
            <w:tcW w:type="dxa" w:w="25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汇率数据 Agent</w:t>
            </w:r>
          </w:p>
        </w:tc>
        <w:tc>
          <w:tcPr>
            <w:tcW w:type="dxa" w:w="496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获取多源汇率、换算和校验</w:t>
            </w:r>
          </w:p>
        </w:tc>
        <w:tc>
          <w:tcPr>
            <w:tcW w:type="dxa" w:w="19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高</w:t>
            </w:r>
          </w:p>
        </w:tc>
      </w:tr>
      <w:tr>
        <w:tc>
          <w:tcPr>
            <w:tcW w:type="dxa" w:w="25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校验 Agent</w:t>
            </w:r>
          </w:p>
        </w:tc>
        <w:tc>
          <w:tcPr>
            <w:tcW w:type="dxa" w:w="496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完整性、主体、币种与期间校验</w:t>
            </w:r>
          </w:p>
        </w:tc>
        <w:tc>
          <w:tcPr>
            <w:tcW w:type="dxa" w:w="19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高</w:t>
            </w:r>
          </w:p>
        </w:tc>
      </w:tr>
      <w:tr>
        <w:tc>
          <w:tcPr>
            <w:tcW w:type="dxa" w:w="25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诊断 Agent</w:t>
            </w:r>
          </w:p>
        </w:tc>
        <w:tc>
          <w:tcPr>
            <w:tcW w:type="dxa" w:w="496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执行F1-F8规则和评分</w:t>
            </w:r>
          </w:p>
        </w:tc>
        <w:tc>
          <w:tcPr>
            <w:tcW w:type="dxa" w:w="19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高</w:t>
            </w:r>
          </w:p>
        </w:tc>
      </w:tr>
      <w:tr>
        <w:tc>
          <w:tcPr>
            <w:tcW w:type="dxa" w:w="25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洞察 Agent</w:t>
            </w:r>
          </w:p>
        </w:tc>
        <w:tc>
          <w:tcPr>
            <w:tcW w:type="dxa" w:w="496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模式识别与初步建议</w:t>
            </w:r>
          </w:p>
        </w:tc>
        <w:tc>
          <w:tcPr>
            <w:tcW w:type="dxa" w:w="19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中</w:t>
            </w:r>
          </w:p>
        </w:tc>
      </w:tr>
      <w:tr>
        <w:tc>
          <w:tcPr>
            <w:tcW w:type="dxa" w:w="25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合规 Agent</w:t>
            </w:r>
          </w:p>
        </w:tc>
        <w:tc>
          <w:tcPr>
            <w:tcW w:type="dxa" w:w="496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法规提示与转介触发</w:t>
            </w:r>
          </w:p>
        </w:tc>
        <w:tc>
          <w:tcPr>
            <w:tcW w:type="dxa" w:w="19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中</w:t>
            </w:r>
          </w:p>
        </w:tc>
      </w:tr>
      <w:tr>
        <w:tc>
          <w:tcPr>
            <w:tcW w:type="dxa" w:w="25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编排 Agent</w:t>
            </w:r>
          </w:p>
        </w:tc>
        <w:tc>
          <w:tcPr>
            <w:tcW w:type="dxa" w:w="496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任务、审批、异常和转介路由</w:t>
            </w:r>
          </w:p>
        </w:tc>
        <w:tc>
          <w:tcPr>
            <w:tcW w:type="dxa" w:w="19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中</w:t>
            </w:r>
          </w:p>
        </w:tc>
      </w:tr>
      <w:tr>
        <w:tc>
          <w:tcPr>
            <w:tcW w:type="dxa" w:w="25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报告 Agent</w:t>
            </w:r>
          </w:p>
        </w:tc>
        <w:tc>
          <w:tcPr>
            <w:tcW w:type="dxa" w:w="496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报告、仪表盘和底稿生成</w:t>
            </w:r>
          </w:p>
        </w:tc>
        <w:tc>
          <w:tcPr>
            <w:tcW w:type="dxa" w:w="19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低</w:t>
            </w:r>
          </w:p>
        </w:tc>
      </w:tr>
    </w:tbl>
    <w:p>
      <w:pPr>
        <w:keepNext w:val="0"/>
        <w:spacing w:before="0" w:after="60" w:line="307" w:lineRule="auto"/>
      </w:pPr>
      <w:r>
        <w:rPr>
          <w:rFonts w:ascii="Aptos" w:hAnsi="Aptos" w:eastAsia="Microsoft YaHei"/>
          <w:b w:val="0"/>
          <w:i w:val="0"/>
          <w:color w:val="1D352C"/>
          <w:sz w:val="4"/>
        </w:rPr>
      </w:r>
    </w:p>
    <w:p>
      <w:r>
        <w:br w:type="page"/>
      </w:r>
    </w:p>
    <w:p>
      <w:pPr>
        <w:pStyle w:val="Heading1"/>
        <w:keepNext/>
        <w:spacing w:before="340" w:after="160"/>
      </w:pPr>
      <w:r>
        <w:rPr>
          <w:rFonts w:ascii="Aptos" w:hAnsi="Aptos" w:eastAsia="Microsoft YaHei"/>
          <w:b/>
          <w:color w:val="0B3B2A"/>
          <w:sz w:val="32"/>
        </w:rPr>
        <w:t>9. 数据治理、安全与专业责任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3400"/>
        <w:gridCol w:w="4060"/>
      </w:tblGrid>
      <w:tr>
        <w:trPr>
          <w:tblHeader w:val="true"/>
        </w:trPr>
        <w:tc>
          <w:tcPr>
            <w:tcW w:type="dxa" w:w="19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0B3B2A"/>
          </w:tcPr>
          <w:p>
            <w:pPr>
              <w:spacing w:after="0"/>
              <w:jc w:val="center"/>
            </w:pPr>
            <w:r>
              <w:rPr>
                <w:rFonts w:ascii="Aptos" w:hAnsi="Aptos" w:eastAsia="Microsoft YaHei"/>
                <w:b/>
                <w:color w:val="FFFFFF"/>
                <w:sz w:val="18"/>
              </w:rPr>
              <w:t>数据层</w:t>
            </w:r>
          </w:p>
        </w:tc>
        <w:tc>
          <w:tcPr>
            <w:tcW w:type="dxa" w:w="3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0B3B2A"/>
          </w:tcPr>
          <w:p>
            <w:pPr>
              <w:spacing w:after="0"/>
              <w:jc w:val="center"/>
            </w:pPr>
            <w:r>
              <w:rPr>
                <w:rFonts w:ascii="Aptos" w:hAnsi="Aptos" w:eastAsia="Microsoft YaHei"/>
                <w:b/>
                <w:color w:val="FFFFFF"/>
                <w:sz w:val="18"/>
              </w:rPr>
              <w:t>内容</w:t>
            </w:r>
          </w:p>
        </w:tc>
        <w:tc>
          <w:tcPr>
            <w:tcW w:type="dxa" w:w="40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0B3B2A"/>
          </w:tcPr>
          <w:p>
            <w:pPr>
              <w:spacing w:after="0"/>
              <w:jc w:val="center"/>
            </w:pPr>
            <w:r>
              <w:rPr>
                <w:rFonts w:ascii="Aptos" w:hAnsi="Aptos" w:eastAsia="Microsoft YaHei"/>
                <w:b/>
                <w:color w:val="FFFFFF"/>
                <w:sz w:val="18"/>
              </w:rPr>
              <w:t>控制要求</w:t>
            </w:r>
          </w:p>
        </w:tc>
      </w:tr>
      <w:tr>
        <w:tc>
          <w:tcPr>
            <w:tcW w:type="dxa" w:w="19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L0 原始层</w:t>
            </w:r>
          </w:p>
        </w:tc>
        <w:tc>
          <w:tcPr>
            <w:tcW w:type="dxa" w:w="34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客户上传文件</w:t>
            </w:r>
          </w:p>
        </w:tc>
        <w:tc>
          <w:tcPr>
            <w:tcW w:type="dxa" w:w="406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加密、隔离、文件指纹</w:t>
            </w:r>
          </w:p>
        </w:tc>
      </w:tr>
      <w:tr>
        <w:tc>
          <w:tcPr>
            <w:tcW w:type="dxa" w:w="19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L1 解析层</w:t>
            </w:r>
          </w:p>
        </w:tc>
        <w:tc>
          <w:tcPr>
            <w:tcW w:type="dxa" w:w="34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结构化字段与映射</w:t>
            </w:r>
          </w:p>
        </w:tc>
        <w:tc>
          <w:tcPr>
            <w:tcW w:type="dxa" w:w="406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回链原文件、置信度记录</w:t>
            </w:r>
          </w:p>
        </w:tc>
      </w:tr>
      <w:tr>
        <w:tc>
          <w:tcPr>
            <w:tcW w:type="dxa" w:w="19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L2 规则层</w:t>
            </w:r>
          </w:p>
        </w:tc>
        <w:tc>
          <w:tcPr>
            <w:tcW w:type="dxa" w:w="34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异常、评分、换算结果</w:t>
            </w:r>
          </w:p>
        </w:tc>
        <w:tc>
          <w:tcPr>
            <w:tcW w:type="dxa" w:w="406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规则版本、输入输出可审计</w:t>
            </w:r>
          </w:p>
        </w:tc>
      </w:tr>
      <w:tr>
        <w:tc>
          <w:tcPr>
            <w:tcW w:type="dxa" w:w="19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L3 AI层</w:t>
            </w:r>
          </w:p>
        </w:tc>
        <w:tc>
          <w:tcPr>
            <w:tcW w:type="dxa" w:w="34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解释、建议、摘要</w:t>
            </w:r>
          </w:p>
        </w:tc>
        <w:tc>
          <w:tcPr>
            <w:tcW w:type="dxa" w:w="406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提示词与模型版本留痕</w:t>
            </w:r>
          </w:p>
        </w:tc>
      </w:tr>
      <w:tr>
        <w:tc>
          <w:tcPr>
            <w:tcW w:type="dxa" w:w="19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L4 汇率层</w:t>
            </w:r>
          </w:p>
        </w:tc>
        <w:tc>
          <w:tcPr>
            <w:tcW w:type="dxa" w:w="34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历史及多源汇率</w:t>
            </w:r>
          </w:p>
        </w:tc>
        <w:tc>
          <w:tcPr>
            <w:tcW w:type="dxa" w:w="406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来源、时点、类型和更新时间</w:t>
            </w:r>
          </w:p>
        </w:tc>
      </w:tr>
      <w:tr>
        <w:tc>
          <w:tcPr>
            <w:tcW w:type="dxa" w:w="19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L5 人工层</w:t>
            </w:r>
          </w:p>
        </w:tc>
        <w:tc>
          <w:tcPr>
            <w:tcW w:type="dxa" w:w="34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复核、修改、签发</w:t>
            </w:r>
          </w:p>
        </w:tc>
        <w:tc>
          <w:tcPr>
            <w:tcW w:type="dxa" w:w="406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人员、时间、理由和审批记录</w:t>
            </w:r>
          </w:p>
        </w:tc>
      </w:tr>
    </w:tbl>
    <w:p>
      <w:pPr>
        <w:keepNext w:val="0"/>
        <w:spacing w:before="0" w:after="60" w:line="307" w:lineRule="auto"/>
      </w:pPr>
      <w:r>
        <w:rPr>
          <w:rFonts w:ascii="Aptos" w:hAnsi="Aptos" w:eastAsia="Microsoft YaHei"/>
          <w:b w:val="0"/>
          <w:i w:val="0"/>
          <w:color w:val="1D352C"/>
          <w:sz w:val="4"/>
        </w:rPr>
      </w:r>
    </w:p>
    <w:p>
      <w:pPr>
        <w:pStyle w:val="Heading2"/>
        <w:keepNext/>
        <w:spacing w:before="240" w:after="120"/>
      </w:pPr>
      <w:r>
        <w:rPr>
          <w:rFonts w:ascii="Aptos" w:hAnsi="Aptos" w:eastAsia="Microsoft YaHei"/>
          <w:b/>
          <w:color w:val="176B4D"/>
          <w:sz w:val="26"/>
        </w:rPr>
        <w:t>9.1 上线前必备控制</w:t>
      </w:r>
    </w:p>
    <w:p>
      <w:pPr>
        <w:pStyle w:val="ListBullet"/>
        <w:spacing w:after="80" w:line="293" w:lineRule="auto"/>
      </w:pPr>
      <w:r>
        <w:rPr>
          <w:rFonts w:ascii="Aptos" w:hAnsi="Aptos" w:eastAsia="Microsoft YaHei"/>
          <w:color w:val="1D352C"/>
          <w:sz w:val="20"/>
        </w:rPr>
        <w:t>隐私政策、客户授权、文件处理说明、保留期限和删除机制；</w:t>
      </w:r>
    </w:p>
    <w:p>
      <w:pPr>
        <w:pStyle w:val="ListBullet"/>
        <w:spacing w:after="80" w:line="293" w:lineRule="auto"/>
      </w:pPr>
      <w:r>
        <w:rPr>
          <w:rFonts w:ascii="Aptos" w:hAnsi="Aptos" w:eastAsia="Microsoft YaHei"/>
          <w:color w:val="1D352C"/>
          <w:sz w:val="20"/>
        </w:rPr>
        <w:t>客户/集团/主体/角色权限隔离与操作日志；</w:t>
      </w:r>
    </w:p>
    <w:p>
      <w:pPr>
        <w:pStyle w:val="ListBullet"/>
        <w:spacing w:after="80" w:line="293" w:lineRule="auto"/>
      </w:pPr>
      <w:r>
        <w:rPr>
          <w:rFonts w:ascii="Aptos" w:hAnsi="Aptos" w:eastAsia="Microsoft YaHei"/>
          <w:color w:val="1D352C"/>
          <w:sz w:val="20"/>
        </w:rPr>
        <w:t>重大金额阈值、异常升级和人工签发机制；</w:t>
      </w:r>
    </w:p>
    <w:p>
      <w:pPr>
        <w:pStyle w:val="ListBullet"/>
        <w:spacing w:after="80" w:line="293" w:lineRule="auto"/>
      </w:pPr>
      <w:r>
        <w:rPr>
          <w:rFonts w:ascii="Aptos" w:hAnsi="Aptos" w:eastAsia="Microsoft YaHei"/>
          <w:color w:val="1D352C"/>
          <w:sz w:val="20"/>
        </w:rPr>
        <w:t>汇率数据多源交叉验证及换算依据留痕；</w:t>
      </w:r>
    </w:p>
    <w:p>
      <w:pPr>
        <w:pStyle w:val="ListBullet"/>
        <w:spacing w:after="80" w:line="293" w:lineRule="auto"/>
      </w:pPr>
      <w:r>
        <w:rPr>
          <w:rFonts w:ascii="Aptos" w:hAnsi="Aptos" w:eastAsia="Microsoft YaHei"/>
          <w:color w:val="1D352C"/>
          <w:sz w:val="20"/>
        </w:rPr>
        <w:t>ClawTax转介授权、独立委托和专业责任免责声明；</w:t>
      </w:r>
    </w:p>
    <w:p>
      <w:pPr>
        <w:pStyle w:val="ListBullet"/>
        <w:spacing w:after="80" w:line="293" w:lineRule="auto"/>
      </w:pPr>
      <w:r>
        <w:rPr>
          <w:rFonts w:ascii="Aptos" w:hAnsi="Aptos" w:eastAsia="Microsoft YaHei"/>
          <w:color w:val="1D352C"/>
          <w:sz w:val="20"/>
        </w:rPr>
        <w:t>安全事件响应、备份恢复和企业私有部署方案。</w:t>
      </w:r>
    </w:p>
    <w:p>
      <w:r>
        <w:br w:type="page"/>
      </w:r>
    </w:p>
    <w:p>
      <w:pPr>
        <w:pStyle w:val="Heading1"/>
        <w:keepNext/>
        <w:spacing w:before="340" w:after="160"/>
      </w:pPr>
      <w:r>
        <w:rPr>
          <w:rFonts w:ascii="Aptos" w:hAnsi="Aptos" w:eastAsia="Microsoft YaHei"/>
          <w:b/>
          <w:color w:val="0B3B2A"/>
          <w:sz w:val="32"/>
        </w:rPr>
        <w:t>10. 12个月产品与商业路线图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400"/>
        <w:gridCol w:w="1200"/>
        <w:gridCol w:w="4300"/>
        <w:gridCol w:w="2460"/>
      </w:tblGrid>
      <w:tr>
        <w:trPr>
          <w:tblHeader w:val="true"/>
        </w:trPr>
        <w:tc>
          <w:tcPr>
            <w:tcW w:type="dxa" w:w="1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0B3B2A"/>
          </w:tcPr>
          <w:p>
            <w:pPr>
              <w:spacing w:after="0"/>
              <w:jc w:val="center"/>
            </w:pPr>
            <w:r>
              <w:rPr>
                <w:rFonts w:ascii="Aptos" w:hAnsi="Aptos" w:eastAsia="Microsoft YaHei"/>
                <w:b/>
                <w:color w:val="FFFFFF"/>
                <w:sz w:val="18"/>
              </w:rPr>
              <w:t>阶段</w:t>
            </w:r>
          </w:p>
        </w:tc>
        <w:tc>
          <w:tcPr>
            <w:tcW w:type="dxa" w:w="12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0B3B2A"/>
          </w:tcPr>
          <w:p>
            <w:pPr>
              <w:spacing w:after="0"/>
              <w:jc w:val="center"/>
            </w:pPr>
            <w:r>
              <w:rPr>
                <w:rFonts w:ascii="Aptos" w:hAnsi="Aptos" w:eastAsia="Microsoft YaHei"/>
                <w:b/>
                <w:color w:val="FFFFFF"/>
                <w:sz w:val="18"/>
              </w:rPr>
              <w:t>月份</w:t>
            </w:r>
          </w:p>
        </w:tc>
        <w:tc>
          <w:tcPr>
            <w:tcW w:type="dxa" w:w="43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0B3B2A"/>
          </w:tcPr>
          <w:p>
            <w:pPr>
              <w:spacing w:after="0"/>
              <w:jc w:val="center"/>
            </w:pPr>
            <w:r>
              <w:rPr>
                <w:rFonts w:ascii="Aptos" w:hAnsi="Aptos" w:eastAsia="Microsoft YaHei"/>
                <w:b/>
                <w:color w:val="FFFFFF"/>
                <w:sz w:val="18"/>
              </w:rPr>
              <w:t>交付重点</w:t>
            </w:r>
          </w:p>
        </w:tc>
        <w:tc>
          <w:tcPr>
            <w:tcW w:type="dxa" w:w="24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0B3B2A"/>
          </w:tcPr>
          <w:p>
            <w:pPr>
              <w:spacing w:after="0"/>
              <w:jc w:val="center"/>
            </w:pPr>
            <w:r>
              <w:rPr>
                <w:rFonts w:ascii="Aptos" w:hAnsi="Aptos" w:eastAsia="Microsoft YaHei"/>
                <w:b/>
                <w:color w:val="FFFFFF"/>
                <w:sz w:val="18"/>
              </w:rPr>
              <w:t>成功标准</w:t>
            </w:r>
          </w:p>
        </w:tc>
      </w:tr>
      <w:tr>
        <w:tc>
          <w:tcPr>
            <w:tcW w:type="dxa" w:w="14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验证</w:t>
            </w:r>
          </w:p>
        </w:tc>
        <w:tc>
          <w:tcPr>
            <w:tcW w:type="dxa" w:w="12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M1–M2</w:t>
            </w:r>
          </w:p>
        </w:tc>
        <w:tc>
          <w:tcPr>
            <w:tcW w:type="dxa" w:w="43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上传模板、数据层、F1/F2、基础报告</w:t>
            </w:r>
          </w:p>
        </w:tc>
        <w:tc>
          <w:tcPr>
            <w:tcW w:type="dxa" w:w="246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5家设计伙伴</w:t>
            </w:r>
          </w:p>
        </w:tc>
      </w:tr>
      <w:tr>
        <w:tc>
          <w:tcPr>
            <w:tcW w:type="dxa" w:w="14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收费</w:t>
            </w:r>
          </w:p>
        </w:tc>
        <w:tc>
          <w:tcPr>
            <w:tcW w:type="dxa" w:w="12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M3–M4</w:t>
            </w:r>
          </w:p>
        </w:tc>
        <w:tc>
          <w:tcPr>
            <w:tcW w:type="dxa" w:w="43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付费应收/应付诊断、F3试点</w:t>
            </w:r>
          </w:p>
        </w:tc>
        <w:tc>
          <w:tcPr>
            <w:tcW w:type="dxa" w:w="246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首10个付费项目</w:t>
            </w:r>
          </w:p>
        </w:tc>
      </w:tr>
      <w:tr>
        <w:tc>
          <w:tcPr>
            <w:tcW w:type="dxa" w:w="14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复购</w:t>
            </w:r>
          </w:p>
        </w:tc>
        <w:tc>
          <w:tcPr>
            <w:tcW w:type="dxa" w:w="12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M5–M6</w:t>
            </w:r>
          </w:p>
        </w:tc>
        <w:tc>
          <w:tcPr>
            <w:tcW w:type="dxa" w:w="43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F5汇率、月度任务流、ClawTax转介</w:t>
            </w:r>
          </w:p>
        </w:tc>
        <w:tc>
          <w:tcPr>
            <w:tcW w:type="dxa" w:w="246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3家订阅客户</w:t>
            </w:r>
          </w:p>
        </w:tc>
      </w:tr>
      <w:tr>
        <w:tc>
          <w:tcPr>
            <w:tcW w:type="dxa" w:w="14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标准化</w:t>
            </w:r>
          </w:p>
        </w:tc>
        <w:tc>
          <w:tcPr>
            <w:tcW w:type="dxa" w:w="12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M7–M9</w:t>
            </w:r>
          </w:p>
        </w:tc>
        <w:tc>
          <w:tcPr>
            <w:tcW w:type="dxa" w:w="43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F6、行业规则包、权限、批处理</w:t>
            </w:r>
          </w:p>
        </w:tc>
        <w:tc>
          <w:tcPr>
            <w:tcW w:type="dxa" w:w="246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月收入HK$220k</w:t>
            </w:r>
          </w:p>
        </w:tc>
      </w:tr>
      <w:tr>
        <w:tc>
          <w:tcPr>
            <w:tcW w:type="dxa" w:w="14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企业化</w:t>
            </w:r>
          </w:p>
        </w:tc>
        <w:tc>
          <w:tcPr>
            <w:tcW w:type="dxa" w:w="12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M10–M12</w:t>
            </w:r>
          </w:p>
        </w:tc>
        <w:tc>
          <w:tcPr>
            <w:tcW w:type="dxa" w:w="43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ERP接口、审计日志、私有部署、F7/F8试点</w:t>
            </w:r>
          </w:p>
        </w:tc>
        <w:tc>
          <w:tcPr>
            <w:tcW w:type="dxa" w:w="246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1家企业部署</w:t>
            </w:r>
          </w:p>
        </w:tc>
      </w:tr>
    </w:tbl>
    <w:p>
      <w:pPr>
        <w:keepNext w:val="0"/>
        <w:spacing w:before="0" w:after="60" w:line="307" w:lineRule="auto"/>
      </w:pPr>
      <w:r>
        <w:rPr>
          <w:rFonts w:ascii="Aptos" w:hAnsi="Aptos" w:eastAsia="Microsoft YaHei"/>
          <w:b w:val="0"/>
          <w:i w:val="0"/>
          <w:color w:val="1D352C"/>
          <w:sz w:val="4"/>
        </w:rPr>
      </w:r>
    </w:p>
    <w:p>
      <w:pPr>
        <w:pStyle w:val="Heading2"/>
        <w:keepNext/>
        <w:spacing w:before="240" w:after="120"/>
      </w:pPr>
      <w:r>
        <w:rPr>
          <w:rFonts w:ascii="Aptos" w:hAnsi="Aptos" w:eastAsia="Microsoft YaHei"/>
          <w:b/>
          <w:color w:val="176B4D"/>
          <w:sz w:val="26"/>
        </w:rPr>
        <w:t>10.1 关键依赖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3860"/>
        <w:gridCol w:w="3000"/>
      </w:tblGrid>
      <w:tr>
        <w:trPr>
          <w:tblHeader w:val="true"/>
        </w:trPr>
        <w:tc>
          <w:tcPr>
            <w:tcW w:type="dxa" w:w="25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0B3B2A"/>
          </w:tcPr>
          <w:p>
            <w:pPr>
              <w:spacing w:after="0"/>
              <w:jc w:val="center"/>
            </w:pPr>
            <w:r>
              <w:rPr>
                <w:rFonts w:ascii="Aptos" w:hAnsi="Aptos" w:eastAsia="Microsoft YaHei"/>
                <w:b/>
                <w:color w:val="FFFFFF"/>
                <w:sz w:val="18"/>
              </w:rPr>
              <w:t>里程碑</w:t>
            </w:r>
          </w:p>
        </w:tc>
        <w:tc>
          <w:tcPr>
            <w:tcW w:type="dxa" w:w="3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0B3B2A"/>
          </w:tcPr>
          <w:p>
            <w:pPr>
              <w:spacing w:after="0"/>
              <w:jc w:val="center"/>
            </w:pPr>
            <w:r>
              <w:rPr>
                <w:rFonts w:ascii="Aptos" w:hAnsi="Aptos" w:eastAsia="Microsoft YaHei"/>
                <w:b/>
                <w:color w:val="FFFFFF"/>
                <w:sz w:val="18"/>
              </w:rPr>
              <w:t>前置依赖</w:t>
            </w:r>
          </w:p>
        </w:tc>
        <w:tc>
          <w:tcPr>
            <w:tcW w:type="dxa" w:w="30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0B3B2A"/>
          </w:tcPr>
          <w:p>
            <w:pPr>
              <w:spacing w:after="0"/>
              <w:jc w:val="center"/>
            </w:pPr>
            <w:r>
              <w:rPr>
                <w:rFonts w:ascii="Aptos" w:hAnsi="Aptos" w:eastAsia="Microsoft YaHei"/>
                <w:b/>
                <w:color w:val="FFFFFF"/>
                <w:sz w:val="18"/>
              </w:rPr>
              <w:t>主要风险</w:t>
            </w:r>
          </w:p>
        </w:tc>
      </w:tr>
      <w:tr>
        <w:tc>
          <w:tcPr>
            <w:tcW w:type="dxa" w:w="25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设计伙伴签约</w:t>
            </w:r>
          </w:p>
        </w:tc>
        <w:tc>
          <w:tcPr>
            <w:tcW w:type="dxa" w:w="386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八至客户网络与脱敏协议</w:t>
            </w:r>
          </w:p>
        </w:tc>
        <w:tc>
          <w:tcPr>
            <w:tcW w:type="dxa" w:w="30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客户数据顾虑</w:t>
            </w:r>
          </w:p>
        </w:tc>
      </w:tr>
      <w:tr>
        <w:tc>
          <w:tcPr>
            <w:tcW w:type="dxa" w:w="25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首次付费交付</w:t>
            </w:r>
          </w:p>
        </w:tc>
        <w:tc>
          <w:tcPr>
            <w:tcW w:type="dxa" w:w="386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准确率与人工复核流程</w:t>
            </w:r>
          </w:p>
        </w:tc>
        <w:tc>
          <w:tcPr>
            <w:tcW w:type="dxa" w:w="30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结论可信度不足</w:t>
            </w:r>
          </w:p>
        </w:tc>
      </w:tr>
      <w:tr>
        <w:tc>
          <w:tcPr>
            <w:tcW w:type="dxa" w:w="25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汇率引擎上线</w:t>
            </w:r>
          </w:p>
        </w:tc>
        <w:tc>
          <w:tcPr>
            <w:tcW w:type="dxa" w:w="386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稳定数据源和换算规则</w:t>
            </w:r>
          </w:p>
        </w:tc>
        <w:tc>
          <w:tcPr>
            <w:tcW w:type="dxa" w:w="30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API与口径争议</w:t>
            </w:r>
          </w:p>
        </w:tc>
      </w:tr>
      <w:tr>
        <w:tc>
          <w:tcPr>
            <w:tcW w:type="dxa" w:w="25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ClawTax转介打通</w:t>
            </w:r>
          </w:p>
        </w:tc>
        <w:tc>
          <w:tcPr>
            <w:tcW w:type="dxa" w:w="386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接口、授权与责任边界</w:t>
            </w:r>
          </w:p>
        </w:tc>
        <w:tc>
          <w:tcPr>
            <w:tcW w:type="dxa" w:w="30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双方边界不清</w:t>
            </w:r>
          </w:p>
        </w:tc>
      </w:tr>
      <w:tr>
        <w:tc>
          <w:tcPr>
            <w:tcW w:type="dxa" w:w="25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首个ERP接口</w:t>
            </w:r>
          </w:p>
        </w:tc>
        <w:tc>
          <w:tcPr>
            <w:tcW w:type="dxa" w:w="386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客户价值已验证</w:t>
            </w:r>
          </w:p>
        </w:tc>
        <w:tc>
          <w:tcPr>
            <w:tcW w:type="dxa" w:w="30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接口碎片化</w:t>
            </w:r>
          </w:p>
        </w:tc>
      </w:tr>
    </w:tbl>
    <w:p>
      <w:pPr>
        <w:keepNext w:val="0"/>
        <w:spacing w:before="0" w:after="60" w:line="307" w:lineRule="auto"/>
      </w:pPr>
      <w:r>
        <w:rPr>
          <w:rFonts w:ascii="Aptos" w:hAnsi="Aptos" w:eastAsia="Microsoft YaHei"/>
          <w:b w:val="0"/>
          <w:i w:val="0"/>
          <w:color w:val="1D352C"/>
          <w:sz w:val="4"/>
        </w:rPr>
      </w:r>
    </w:p>
    <w:p>
      <w:r>
        <w:br w:type="page"/>
      </w:r>
    </w:p>
    <w:p>
      <w:pPr>
        <w:pStyle w:val="Heading1"/>
        <w:keepNext/>
        <w:spacing w:before="340" w:after="160"/>
      </w:pPr>
      <w:r>
        <w:rPr>
          <w:rFonts w:ascii="Aptos" w:hAnsi="Aptos" w:eastAsia="Microsoft YaHei"/>
          <w:b/>
          <w:color w:val="0B3B2A"/>
          <w:sz w:val="32"/>
        </w:rPr>
        <w:t>11. 运营与交付模式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500"/>
        <w:gridCol w:w="1300"/>
        <w:gridCol w:w="3860"/>
        <w:gridCol w:w="2700"/>
      </w:tblGrid>
      <w:tr>
        <w:trPr>
          <w:tblHeader w:val="true"/>
        </w:trPr>
        <w:tc>
          <w:tcPr>
            <w:tcW w:type="dxa" w:w="15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0B3B2A"/>
          </w:tcPr>
          <w:p>
            <w:pPr>
              <w:spacing w:after="0"/>
              <w:jc w:val="center"/>
            </w:pPr>
            <w:r>
              <w:rPr>
                <w:rFonts w:ascii="Aptos" w:hAnsi="Aptos" w:eastAsia="Microsoft YaHei"/>
                <w:b/>
                <w:color w:val="FFFFFF"/>
                <w:sz w:val="18"/>
              </w:rPr>
              <w:t>阶段</w:t>
            </w:r>
          </w:p>
        </w:tc>
        <w:tc>
          <w:tcPr>
            <w:tcW w:type="dxa" w:w="13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0B3B2A"/>
          </w:tcPr>
          <w:p>
            <w:pPr>
              <w:spacing w:after="0"/>
              <w:jc w:val="center"/>
            </w:pPr>
            <w:r>
              <w:rPr>
                <w:rFonts w:ascii="Aptos" w:hAnsi="Aptos" w:eastAsia="Microsoft YaHei"/>
                <w:b/>
                <w:color w:val="FFFFFF"/>
                <w:sz w:val="18"/>
              </w:rPr>
              <w:t>标准时限</w:t>
            </w:r>
          </w:p>
        </w:tc>
        <w:tc>
          <w:tcPr>
            <w:tcW w:type="dxa" w:w="38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0B3B2A"/>
          </w:tcPr>
          <w:p>
            <w:pPr>
              <w:spacing w:after="0"/>
              <w:jc w:val="center"/>
            </w:pPr>
            <w:r>
              <w:rPr>
                <w:rFonts w:ascii="Aptos" w:hAnsi="Aptos" w:eastAsia="Microsoft YaHei"/>
                <w:b/>
                <w:color w:val="FFFFFF"/>
                <w:sz w:val="18"/>
              </w:rPr>
              <w:t>自动化工作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0B3B2A"/>
          </w:tcPr>
          <w:p>
            <w:pPr>
              <w:spacing w:after="0"/>
              <w:jc w:val="center"/>
            </w:pPr>
            <w:r>
              <w:rPr>
                <w:rFonts w:ascii="Aptos" w:hAnsi="Aptos" w:eastAsia="Microsoft YaHei"/>
                <w:b/>
                <w:color w:val="FFFFFF"/>
                <w:sz w:val="18"/>
              </w:rPr>
              <w:t>人工工作</w:t>
            </w:r>
          </w:p>
        </w:tc>
      </w:tr>
      <w:tr>
        <w:tc>
          <w:tcPr>
            <w:tcW w:type="dxa" w:w="15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数据接收</w:t>
            </w:r>
          </w:p>
        </w:tc>
        <w:tc>
          <w:tcPr>
            <w:tcW w:type="dxa" w:w="13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第0–1日</w:t>
            </w:r>
          </w:p>
        </w:tc>
        <w:tc>
          <w:tcPr>
            <w:tcW w:type="dxa" w:w="386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格式检查、字段映射、汇率获取</w:t>
            </w:r>
          </w:p>
        </w:tc>
        <w:tc>
          <w:tcPr>
            <w:tcW w:type="dxa" w:w="27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确认主体与口径</w:t>
            </w:r>
          </w:p>
        </w:tc>
      </w:tr>
      <w:tr>
        <w:tc>
          <w:tcPr>
            <w:tcW w:type="dxa" w:w="15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诊断</w:t>
            </w:r>
          </w:p>
        </w:tc>
        <w:tc>
          <w:tcPr>
            <w:tcW w:type="dxa" w:w="13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第1–2日</w:t>
            </w:r>
          </w:p>
        </w:tc>
        <w:tc>
          <w:tcPr>
            <w:tcW w:type="dxa" w:w="386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匹配、评分、异常排序</w:t>
            </w:r>
          </w:p>
        </w:tc>
        <w:tc>
          <w:tcPr>
            <w:tcW w:type="dxa" w:w="27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复核重大金额</w:t>
            </w:r>
          </w:p>
        </w:tc>
      </w:tr>
      <w:tr>
        <w:tc>
          <w:tcPr>
            <w:tcW w:type="dxa" w:w="15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汇率/结算</w:t>
            </w:r>
          </w:p>
        </w:tc>
        <w:tc>
          <w:tcPr>
            <w:tcW w:type="dxa" w:w="13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第2–3日</w:t>
            </w:r>
          </w:p>
        </w:tc>
        <w:tc>
          <w:tcPr>
            <w:tcW w:type="dxa" w:w="386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换算、校验、方案生成</w:t>
            </w:r>
          </w:p>
        </w:tc>
        <w:tc>
          <w:tcPr>
            <w:tcW w:type="dxa" w:w="27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复核逻辑与合规</w:t>
            </w:r>
          </w:p>
        </w:tc>
      </w:tr>
      <w:tr>
        <w:tc>
          <w:tcPr>
            <w:tcW w:type="dxa" w:w="15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工作会</w:t>
            </w:r>
          </w:p>
        </w:tc>
        <w:tc>
          <w:tcPr>
            <w:tcW w:type="dxa" w:w="13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第3日</w:t>
            </w:r>
          </w:p>
        </w:tc>
        <w:tc>
          <w:tcPr>
            <w:tcW w:type="dxa" w:w="386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生成问题包</w:t>
            </w:r>
          </w:p>
        </w:tc>
        <w:tc>
          <w:tcPr>
            <w:tcW w:type="dxa" w:w="27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确认事实与责任人</w:t>
            </w:r>
          </w:p>
        </w:tc>
      </w:tr>
      <w:tr>
        <w:tc>
          <w:tcPr>
            <w:tcW w:type="dxa" w:w="15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报告</w:t>
            </w:r>
          </w:p>
        </w:tc>
        <w:tc>
          <w:tcPr>
            <w:tcW w:type="dxa" w:w="13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第4–5日</w:t>
            </w:r>
          </w:p>
        </w:tc>
        <w:tc>
          <w:tcPr>
            <w:tcW w:type="dxa" w:w="386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底稿、摘要和行动清单</w:t>
            </w:r>
          </w:p>
        </w:tc>
        <w:tc>
          <w:tcPr>
            <w:tcW w:type="dxa" w:w="27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签发管理建议</w:t>
            </w:r>
          </w:p>
        </w:tc>
      </w:tr>
      <w:tr>
        <w:tc>
          <w:tcPr>
            <w:tcW w:type="dxa" w:w="15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持续监控</w:t>
            </w:r>
          </w:p>
        </w:tc>
        <w:tc>
          <w:tcPr>
            <w:tcW w:type="dxa" w:w="13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每月</w:t>
            </w:r>
          </w:p>
        </w:tc>
        <w:tc>
          <w:tcPr>
            <w:tcW w:type="dxa" w:w="386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增量差异、预警和任务提醒</w:t>
            </w:r>
          </w:p>
        </w:tc>
        <w:tc>
          <w:tcPr>
            <w:tcW w:type="dxa" w:w="27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例外升级与项目管理</w:t>
            </w:r>
          </w:p>
        </w:tc>
      </w:tr>
    </w:tbl>
    <w:p>
      <w:pPr>
        <w:keepNext w:val="0"/>
        <w:spacing w:before="0" w:after="60" w:line="307" w:lineRule="auto"/>
      </w:pPr>
      <w:r>
        <w:rPr>
          <w:rFonts w:ascii="Aptos" w:hAnsi="Aptos" w:eastAsia="Microsoft YaHei"/>
          <w:b w:val="0"/>
          <w:i w:val="0"/>
          <w:color w:val="1D352C"/>
          <w:sz w:val="4"/>
        </w:rPr>
      </w:r>
    </w:p>
    <w:p>
      <w:pPr>
        <w:pStyle w:val="Heading2"/>
        <w:keepNext/>
        <w:spacing w:before="240" w:after="120"/>
      </w:pPr>
      <w:r>
        <w:rPr>
          <w:rFonts w:ascii="Aptos" w:hAnsi="Aptos" w:eastAsia="Microsoft YaHei"/>
          <w:b/>
          <w:color w:val="176B4D"/>
          <w:sz w:val="26"/>
        </w:rPr>
        <w:t>11.1 早期团队</w:t>
      </w:r>
    </w:p>
    <w:p>
      <w:pPr>
        <w:keepNext w:val="0"/>
        <w:spacing w:before="0" w:after="140" w:line="307" w:lineRule="auto"/>
      </w:pPr>
      <w:r>
        <w:rPr>
          <w:rFonts w:ascii="Aptos" w:hAnsi="Aptos" w:eastAsia="Microsoft YaHei"/>
          <w:b w:val="0"/>
          <w:i w:val="0"/>
          <w:color w:val="1D352C"/>
          <w:sz w:val="21"/>
        </w:rPr>
        <w:t>建议配置：产品/业务负责人1名、财务流程专家1–2名、数据/全栈工程师2名、汇率/跨境结算专家1名、客户成功1名。税务专家不重复建设，由 ClawTax 按项目配置；八至团队承担渠道和咨询交付。</w:t>
      </w:r>
    </w:p>
    <w:p>
      <w:r>
        <w:br w:type="page"/>
      </w:r>
    </w:p>
    <w:p>
      <w:pPr>
        <w:pStyle w:val="Heading1"/>
        <w:keepNext/>
        <w:spacing w:before="340" w:after="160"/>
      </w:pPr>
      <w:r>
        <w:rPr>
          <w:rFonts w:ascii="Aptos" w:hAnsi="Aptos" w:eastAsia="Microsoft YaHei"/>
          <w:b/>
          <w:color w:val="0B3B2A"/>
          <w:sz w:val="32"/>
        </w:rPr>
        <w:t>12. 三年财务模型</w:t>
      </w:r>
    </w:p>
    <w:p>
      <w:pPr>
        <w:keepNext w:val="0"/>
        <w:spacing w:before="0" w:after="140" w:line="307" w:lineRule="auto"/>
      </w:pPr>
      <w:r>
        <w:rPr>
          <w:rFonts w:ascii="Aptos" w:hAnsi="Aptos" w:eastAsia="Microsoft YaHei"/>
          <w:b w:val="0"/>
          <w:i w:val="0"/>
          <w:color w:val="1D352C"/>
          <w:sz w:val="21"/>
        </w:rPr>
        <w:t>以下为管理层基准情景，单位为 HK$'000；不构成收益保证，未计融资成本、所得税和一次性大型集成成本。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300"/>
        <w:gridCol w:w="2020"/>
        <w:gridCol w:w="2020"/>
        <w:gridCol w:w="2020"/>
      </w:tblGrid>
      <w:tr>
        <w:trPr>
          <w:tblHeader w:val="true"/>
        </w:trPr>
        <w:tc>
          <w:tcPr>
            <w:tcW w:type="dxa" w:w="33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0B3B2A"/>
          </w:tcPr>
          <w:p>
            <w:pPr>
              <w:spacing w:after="0"/>
              <w:jc w:val="center"/>
            </w:pPr>
            <w:r>
              <w:rPr>
                <w:rFonts w:ascii="Aptos" w:hAnsi="Aptos" w:eastAsia="Microsoft YaHei"/>
                <w:b/>
                <w:color w:val="FFFFFF"/>
                <w:sz w:val="18"/>
              </w:rPr>
              <w:t>项目</w:t>
            </w:r>
          </w:p>
        </w:tc>
        <w:tc>
          <w:tcPr>
            <w:tcW w:type="dxa" w:w="202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0B3B2A"/>
          </w:tcPr>
          <w:p>
            <w:pPr>
              <w:spacing w:after="0"/>
              <w:jc w:val="center"/>
            </w:pPr>
            <w:r>
              <w:rPr>
                <w:rFonts w:ascii="Aptos" w:hAnsi="Aptos" w:eastAsia="Microsoft YaHei"/>
                <w:b/>
                <w:color w:val="FFFFFF"/>
                <w:sz w:val="18"/>
              </w:rPr>
              <w:t>第1年</w:t>
            </w:r>
          </w:p>
        </w:tc>
        <w:tc>
          <w:tcPr>
            <w:tcW w:type="dxa" w:w="202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0B3B2A"/>
          </w:tcPr>
          <w:p>
            <w:pPr>
              <w:spacing w:after="0"/>
              <w:jc w:val="center"/>
            </w:pPr>
            <w:r>
              <w:rPr>
                <w:rFonts w:ascii="Aptos" w:hAnsi="Aptos" w:eastAsia="Microsoft YaHei"/>
                <w:b/>
                <w:color w:val="FFFFFF"/>
                <w:sz w:val="18"/>
              </w:rPr>
              <w:t>第2年</w:t>
            </w:r>
          </w:p>
        </w:tc>
        <w:tc>
          <w:tcPr>
            <w:tcW w:type="dxa" w:w="202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0B3B2A"/>
          </w:tcPr>
          <w:p>
            <w:pPr>
              <w:spacing w:after="0"/>
              <w:jc w:val="center"/>
            </w:pPr>
            <w:r>
              <w:rPr>
                <w:rFonts w:ascii="Aptos" w:hAnsi="Aptos" w:eastAsia="Microsoft YaHei"/>
                <w:b/>
                <w:color w:val="FFFFFF"/>
                <w:sz w:val="18"/>
              </w:rPr>
              <w:t>第3年</w:t>
            </w:r>
          </w:p>
        </w:tc>
      </w:tr>
      <w:tr>
        <w:tc>
          <w:tcPr>
            <w:tcW w:type="dxa" w:w="33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专项诊断收入</w:t>
            </w:r>
          </w:p>
        </w:tc>
        <w:tc>
          <w:tcPr>
            <w:tcW w:type="dxa" w:w="2020"/>
          </w:tcPr>
          <w:p>
            <w:pPr>
              <w:spacing w:after="0" w:line="276" w:lineRule="auto"/>
              <w:jc w:val="right"/>
            </w:pPr>
            <w:r>
              <w:rPr>
                <w:rFonts w:ascii="Aptos" w:hAnsi="Aptos" w:eastAsia="Microsoft YaHei"/>
                <w:color w:val="1D352C"/>
                <w:sz w:val="17"/>
              </w:rPr>
              <w:t>950</w:t>
            </w:r>
          </w:p>
        </w:tc>
        <w:tc>
          <w:tcPr>
            <w:tcW w:type="dxa" w:w="2020"/>
          </w:tcPr>
          <w:p>
            <w:pPr>
              <w:spacing w:after="0" w:line="276" w:lineRule="auto"/>
              <w:jc w:val="right"/>
            </w:pPr>
            <w:r>
              <w:rPr>
                <w:rFonts w:ascii="Aptos" w:hAnsi="Aptos" w:eastAsia="Microsoft YaHei"/>
                <w:color w:val="1D352C"/>
                <w:sz w:val="17"/>
              </w:rPr>
              <w:t>2,280</w:t>
            </w:r>
          </w:p>
        </w:tc>
        <w:tc>
          <w:tcPr>
            <w:tcW w:type="dxa" w:w="2020"/>
          </w:tcPr>
          <w:p>
            <w:pPr>
              <w:spacing w:after="0" w:line="276" w:lineRule="auto"/>
              <w:jc w:val="right"/>
            </w:pPr>
            <w:r>
              <w:rPr>
                <w:rFonts w:ascii="Aptos" w:hAnsi="Aptos" w:eastAsia="Microsoft YaHei"/>
                <w:color w:val="1D352C"/>
                <w:sz w:val="17"/>
              </w:rPr>
              <w:t>4,650</w:t>
            </w:r>
          </w:p>
        </w:tc>
      </w:tr>
      <w:tr>
        <w:tc>
          <w:tcPr>
            <w:tcW w:type="dxa" w:w="33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订阅收入</w:t>
            </w:r>
          </w:p>
        </w:tc>
        <w:tc>
          <w:tcPr>
            <w:tcW w:type="dxa" w:w="2020"/>
            <w:shd w:fill="F6FAF7"/>
          </w:tcPr>
          <w:p>
            <w:pPr>
              <w:spacing w:after="0" w:line="276" w:lineRule="auto"/>
              <w:jc w:val="right"/>
            </w:pPr>
            <w:r>
              <w:rPr>
                <w:rFonts w:ascii="Aptos" w:hAnsi="Aptos" w:eastAsia="Microsoft YaHei"/>
                <w:color w:val="1D352C"/>
                <w:sz w:val="17"/>
              </w:rPr>
              <w:t>800</w:t>
            </w:r>
          </w:p>
        </w:tc>
        <w:tc>
          <w:tcPr>
            <w:tcW w:type="dxa" w:w="2020"/>
            <w:shd w:fill="F6FAF7"/>
          </w:tcPr>
          <w:p>
            <w:pPr>
              <w:spacing w:after="0" w:line="276" w:lineRule="auto"/>
              <w:jc w:val="right"/>
            </w:pPr>
            <w:r>
              <w:rPr>
                <w:rFonts w:ascii="Aptos" w:hAnsi="Aptos" w:eastAsia="Microsoft YaHei"/>
                <w:color w:val="1D352C"/>
                <w:sz w:val="17"/>
              </w:rPr>
              <w:t>3,600</w:t>
            </w:r>
          </w:p>
        </w:tc>
        <w:tc>
          <w:tcPr>
            <w:tcW w:type="dxa" w:w="2020"/>
            <w:shd w:fill="F6FAF7"/>
          </w:tcPr>
          <w:p>
            <w:pPr>
              <w:spacing w:after="0" w:line="276" w:lineRule="auto"/>
              <w:jc w:val="right"/>
            </w:pPr>
            <w:r>
              <w:rPr>
                <w:rFonts w:ascii="Aptos" w:hAnsi="Aptos" w:eastAsia="Microsoft YaHei"/>
                <w:color w:val="1D352C"/>
                <w:sz w:val="17"/>
              </w:rPr>
              <w:t>10,000</w:t>
            </w:r>
          </w:p>
        </w:tc>
      </w:tr>
      <w:tr>
        <w:tc>
          <w:tcPr>
            <w:tcW w:type="dxa" w:w="33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企业实施/部署</w:t>
            </w:r>
          </w:p>
        </w:tc>
        <w:tc>
          <w:tcPr>
            <w:tcW w:type="dxa" w:w="2020"/>
          </w:tcPr>
          <w:p>
            <w:pPr>
              <w:spacing w:after="0" w:line="276" w:lineRule="auto"/>
              <w:jc w:val="right"/>
            </w:pPr>
            <w:r>
              <w:rPr>
                <w:rFonts w:ascii="Aptos" w:hAnsi="Aptos" w:eastAsia="Microsoft YaHei"/>
                <w:color w:val="1D352C"/>
                <w:sz w:val="17"/>
              </w:rPr>
              <w:t>400</w:t>
            </w:r>
          </w:p>
        </w:tc>
        <w:tc>
          <w:tcPr>
            <w:tcW w:type="dxa" w:w="2020"/>
          </w:tcPr>
          <w:p>
            <w:pPr>
              <w:spacing w:after="0" w:line="276" w:lineRule="auto"/>
              <w:jc w:val="right"/>
            </w:pPr>
            <w:r>
              <w:rPr>
                <w:rFonts w:ascii="Aptos" w:hAnsi="Aptos" w:eastAsia="Microsoft YaHei"/>
                <w:color w:val="1D352C"/>
                <w:sz w:val="17"/>
              </w:rPr>
              <w:t>1,300</w:t>
            </w:r>
          </w:p>
        </w:tc>
        <w:tc>
          <w:tcPr>
            <w:tcW w:type="dxa" w:w="2020"/>
          </w:tcPr>
          <w:p>
            <w:pPr>
              <w:spacing w:after="0" w:line="276" w:lineRule="auto"/>
              <w:jc w:val="right"/>
            </w:pPr>
            <w:r>
              <w:rPr>
                <w:rFonts w:ascii="Aptos" w:hAnsi="Aptos" w:eastAsia="Microsoft YaHei"/>
                <w:color w:val="1D352C"/>
                <w:sz w:val="17"/>
              </w:rPr>
              <w:t>3,800</w:t>
            </w:r>
          </w:p>
        </w:tc>
      </w:tr>
      <w:tr>
        <w:tc>
          <w:tcPr>
            <w:tcW w:type="dxa" w:w="33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回款成功费及其他</w:t>
            </w:r>
          </w:p>
        </w:tc>
        <w:tc>
          <w:tcPr>
            <w:tcW w:type="dxa" w:w="2020"/>
            <w:shd w:fill="F6FAF7"/>
          </w:tcPr>
          <w:p>
            <w:pPr>
              <w:spacing w:after="0" w:line="276" w:lineRule="auto"/>
              <w:jc w:val="right"/>
            </w:pPr>
            <w:r>
              <w:rPr>
                <w:rFonts w:ascii="Aptos" w:hAnsi="Aptos" w:eastAsia="Microsoft YaHei"/>
                <w:color w:val="1D352C"/>
                <w:sz w:val="17"/>
              </w:rPr>
              <w:t>150</w:t>
            </w:r>
          </w:p>
        </w:tc>
        <w:tc>
          <w:tcPr>
            <w:tcW w:type="dxa" w:w="2020"/>
            <w:shd w:fill="F6FAF7"/>
          </w:tcPr>
          <w:p>
            <w:pPr>
              <w:spacing w:after="0" w:line="276" w:lineRule="auto"/>
              <w:jc w:val="right"/>
            </w:pPr>
            <w:r>
              <w:rPr>
                <w:rFonts w:ascii="Aptos" w:hAnsi="Aptos" w:eastAsia="Microsoft YaHei"/>
                <w:color w:val="1D352C"/>
                <w:sz w:val="17"/>
              </w:rPr>
              <w:t>620</w:t>
            </w:r>
          </w:p>
        </w:tc>
        <w:tc>
          <w:tcPr>
            <w:tcW w:type="dxa" w:w="2020"/>
            <w:shd w:fill="F6FAF7"/>
          </w:tcPr>
          <w:p>
            <w:pPr>
              <w:spacing w:after="0" w:line="276" w:lineRule="auto"/>
              <w:jc w:val="right"/>
            </w:pPr>
            <w:r>
              <w:rPr>
                <w:rFonts w:ascii="Aptos" w:hAnsi="Aptos" w:eastAsia="Microsoft YaHei"/>
                <w:color w:val="1D352C"/>
                <w:sz w:val="17"/>
              </w:rPr>
              <w:t>2,050</w:t>
            </w:r>
          </w:p>
        </w:tc>
      </w:tr>
      <w:tr>
        <w:tc>
          <w:tcPr>
            <w:tcW w:type="dxa" w:w="33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总收入</w:t>
            </w:r>
          </w:p>
        </w:tc>
        <w:tc>
          <w:tcPr>
            <w:tcW w:type="dxa" w:w="2020"/>
          </w:tcPr>
          <w:p>
            <w:pPr>
              <w:spacing w:after="0" w:line="276" w:lineRule="auto"/>
              <w:jc w:val="right"/>
            </w:pPr>
            <w:r>
              <w:rPr>
                <w:rFonts w:ascii="Aptos" w:hAnsi="Aptos" w:eastAsia="Microsoft YaHei"/>
                <w:color w:val="1D352C"/>
                <w:sz w:val="17"/>
              </w:rPr>
              <w:t>2,300</w:t>
            </w:r>
          </w:p>
        </w:tc>
        <w:tc>
          <w:tcPr>
            <w:tcW w:type="dxa" w:w="2020"/>
          </w:tcPr>
          <w:p>
            <w:pPr>
              <w:spacing w:after="0" w:line="276" w:lineRule="auto"/>
              <w:jc w:val="right"/>
            </w:pPr>
            <w:r>
              <w:rPr>
                <w:rFonts w:ascii="Aptos" w:hAnsi="Aptos" w:eastAsia="Microsoft YaHei"/>
                <w:color w:val="1D352C"/>
                <w:sz w:val="17"/>
              </w:rPr>
              <w:t>7,800</w:t>
            </w:r>
          </w:p>
        </w:tc>
        <w:tc>
          <w:tcPr>
            <w:tcW w:type="dxa" w:w="2020"/>
          </w:tcPr>
          <w:p>
            <w:pPr>
              <w:spacing w:after="0" w:line="276" w:lineRule="auto"/>
              <w:jc w:val="right"/>
            </w:pPr>
            <w:r>
              <w:rPr>
                <w:rFonts w:ascii="Aptos" w:hAnsi="Aptos" w:eastAsia="Microsoft YaHei"/>
                <w:color w:val="1D352C"/>
                <w:sz w:val="17"/>
              </w:rPr>
              <w:t>20,500</w:t>
            </w:r>
          </w:p>
        </w:tc>
      </w:tr>
      <w:tr>
        <w:tc>
          <w:tcPr>
            <w:tcW w:type="dxa" w:w="33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直接交付成本</w:t>
            </w:r>
          </w:p>
        </w:tc>
        <w:tc>
          <w:tcPr>
            <w:tcW w:type="dxa" w:w="2020"/>
            <w:shd w:fill="F6FAF7"/>
          </w:tcPr>
          <w:p>
            <w:pPr>
              <w:spacing w:after="0" w:line="276" w:lineRule="auto"/>
              <w:jc w:val="right"/>
            </w:pPr>
            <w:r>
              <w:rPr>
                <w:rFonts w:ascii="Aptos" w:hAnsi="Aptos" w:eastAsia="Microsoft YaHei"/>
                <w:color w:val="1D352C"/>
                <w:sz w:val="17"/>
              </w:rPr>
              <w:t>(805)</w:t>
            </w:r>
          </w:p>
        </w:tc>
        <w:tc>
          <w:tcPr>
            <w:tcW w:type="dxa" w:w="2020"/>
            <w:shd w:fill="F6FAF7"/>
          </w:tcPr>
          <w:p>
            <w:pPr>
              <w:spacing w:after="0" w:line="276" w:lineRule="auto"/>
              <w:jc w:val="right"/>
            </w:pPr>
            <w:r>
              <w:rPr>
                <w:rFonts w:ascii="Aptos" w:hAnsi="Aptos" w:eastAsia="Microsoft YaHei"/>
                <w:color w:val="1D352C"/>
                <w:sz w:val="17"/>
              </w:rPr>
              <w:t>(2,340)</w:t>
            </w:r>
          </w:p>
        </w:tc>
        <w:tc>
          <w:tcPr>
            <w:tcW w:type="dxa" w:w="2020"/>
            <w:shd w:fill="F6FAF7"/>
          </w:tcPr>
          <w:p>
            <w:pPr>
              <w:spacing w:after="0" w:line="276" w:lineRule="auto"/>
              <w:jc w:val="right"/>
            </w:pPr>
            <w:r>
              <w:rPr>
                <w:rFonts w:ascii="Aptos" w:hAnsi="Aptos" w:eastAsia="Microsoft YaHei"/>
                <w:color w:val="1D352C"/>
                <w:sz w:val="17"/>
              </w:rPr>
              <w:t>(5,535)</w:t>
            </w:r>
          </w:p>
        </w:tc>
      </w:tr>
      <w:tr>
        <w:tc>
          <w:tcPr>
            <w:tcW w:type="dxa" w:w="33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毛利</w:t>
            </w:r>
          </w:p>
        </w:tc>
        <w:tc>
          <w:tcPr>
            <w:tcW w:type="dxa" w:w="2020"/>
          </w:tcPr>
          <w:p>
            <w:pPr>
              <w:spacing w:after="0" w:line="276" w:lineRule="auto"/>
              <w:jc w:val="right"/>
            </w:pPr>
            <w:r>
              <w:rPr>
                <w:rFonts w:ascii="Aptos" w:hAnsi="Aptos" w:eastAsia="Microsoft YaHei"/>
                <w:color w:val="1D352C"/>
                <w:sz w:val="17"/>
              </w:rPr>
              <w:t>1,495</w:t>
            </w:r>
          </w:p>
        </w:tc>
        <w:tc>
          <w:tcPr>
            <w:tcW w:type="dxa" w:w="2020"/>
          </w:tcPr>
          <w:p>
            <w:pPr>
              <w:spacing w:after="0" w:line="276" w:lineRule="auto"/>
              <w:jc w:val="right"/>
            </w:pPr>
            <w:r>
              <w:rPr>
                <w:rFonts w:ascii="Aptos" w:hAnsi="Aptos" w:eastAsia="Microsoft YaHei"/>
                <w:color w:val="1D352C"/>
                <w:sz w:val="17"/>
              </w:rPr>
              <w:t>5,460</w:t>
            </w:r>
          </w:p>
        </w:tc>
        <w:tc>
          <w:tcPr>
            <w:tcW w:type="dxa" w:w="2020"/>
          </w:tcPr>
          <w:p>
            <w:pPr>
              <w:spacing w:after="0" w:line="276" w:lineRule="auto"/>
              <w:jc w:val="right"/>
            </w:pPr>
            <w:r>
              <w:rPr>
                <w:rFonts w:ascii="Aptos" w:hAnsi="Aptos" w:eastAsia="Microsoft YaHei"/>
                <w:color w:val="1D352C"/>
                <w:sz w:val="17"/>
              </w:rPr>
              <w:t>14,965</w:t>
            </w:r>
          </w:p>
        </w:tc>
      </w:tr>
      <w:tr>
        <w:tc>
          <w:tcPr>
            <w:tcW w:type="dxa" w:w="33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产品与工程</w:t>
            </w:r>
          </w:p>
        </w:tc>
        <w:tc>
          <w:tcPr>
            <w:tcW w:type="dxa" w:w="2020"/>
            <w:shd w:fill="F6FAF7"/>
          </w:tcPr>
          <w:p>
            <w:pPr>
              <w:spacing w:after="0" w:line="276" w:lineRule="auto"/>
              <w:jc w:val="right"/>
            </w:pPr>
            <w:r>
              <w:rPr>
                <w:rFonts w:ascii="Aptos" w:hAnsi="Aptos" w:eastAsia="Microsoft YaHei"/>
                <w:color w:val="1D352C"/>
                <w:sz w:val="17"/>
              </w:rPr>
              <w:t>(1,600)</w:t>
            </w:r>
          </w:p>
        </w:tc>
        <w:tc>
          <w:tcPr>
            <w:tcW w:type="dxa" w:w="2020"/>
            <w:shd w:fill="F6FAF7"/>
          </w:tcPr>
          <w:p>
            <w:pPr>
              <w:spacing w:after="0" w:line="276" w:lineRule="auto"/>
              <w:jc w:val="right"/>
            </w:pPr>
            <w:r>
              <w:rPr>
                <w:rFonts w:ascii="Aptos" w:hAnsi="Aptos" w:eastAsia="Microsoft YaHei"/>
                <w:color w:val="1D352C"/>
                <w:sz w:val="17"/>
              </w:rPr>
              <w:t>(2,600)</w:t>
            </w:r>
          </w:p>
        </w:tc>
        <w:tc>
          <w:tcPr>
            <w:tcW w:type="dxa" w:w="2020"/>
            <w:shd w:fill="F6FAF7"/>
          </w:tcPr>
          <w:p>
            <w:pPr>
              <w:spacing w:after="0" w:line="276" w:lineRule="auto"/>
              <w:jc w:val="right"/>
            </w:pPr>
            <w:r>
              <w:rPr>
                <w:rFonts w:ascii="Aptos" w:hAnsi="Aptos" w:eastAsia="Microsoft YaHei"/>
                <w:color w:val="1D352C"/>
                <w:sz w:val="17"/>
              </w:rPr>
              <w:t>(4,200)</w:t>
            </w:r>
          </w:p>
        </w:tc>
      </w:tr>
      <w:tr>
        <w:tc>
          <w:tcPr>
            <w:tcW w:type="dxa" w:w="33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销售及运营</w:t>
            </w:r>
          </w:p>
        </w:tc>
        <w:tc>
          <w:tcPr>
            <w:tcW w:type="dxa" w:w="2020"/>
          </w:tcPr>
          <w:p>
            <w:pPr>
              <w:spacing w:after="0" w:line="276" w:lineRule="auto"/>
              <w:jc w:val="right"/>
            </w:pPr>
            <w:r>
              <w:rPr>
                <w:rFonts w:ascii="Aptos" w:hAnsi="Aptos" w:eastAsia="Microsoft YaHei"/>
                <w:color w:val="1D352C"/>
                <w:sz w:val="17"/>
              </w:rPr>
              <w:t>(1,150)</w:t>
            </w:r>
          </w:p>
        </w:tc>
        <w:tc>
          <w:tcPr>
            <w:tcW w:type="dxa" w:w="2020"/>
          </w:tcPr>
          <w:p>
            <w:pPr>
              <w:spacing w:after="0" w:line="276" w:lineRule="auto"/>
              <w:jc w:val="right"/>
            </w:pPr>
            <w:r>
              <w:rPr>
                <w:rFonts w:ascii="Aptos" w:hAnsi="Aptos" w:eastAsia="Microsoft YaHei"/>
                <w:color w:val="1D352C"/>
                <w:sz w:val="17"/>
              </w:rPr>
              <w:t>(2,300)</w:t>
            </w:r>
          </w:p>
        </w:tc>
        <w:tc>
          <w:tcPr>
            <w:tcW w:type="dxa" w:w="2020"/>
          </w:tcPr>
          <w:p>
            <w:pPr>
              <w:spacing w:after="0" w:line="276" w:lineRule="auto"/>
              <w:jc w:val="right"/>
            </w:pPr>
            <w:r>
              <w:rPr>
                <w:rFonts w:ascii="Aptos" w:hAnsi="Aptos" w:eastAsia="Microsoft YaHei"/>
                <w:color w:val="1D352C"/>
                <w:sz w:val="17"/>
              </w:rPr>
              <w:t>(4,400)</w:t>
            </w:r>
          </w:p>
        </w:tc>
      </w:tr>
      <w:tr>
        <w:tc>
          <w:tcPr>
            <w:tcW w:type="dxa" w:w="33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税前经营结果</w:t>
            </w:r>
          </w:p>
        </w:tc>
        <w:tc>
          <w:tcPr>
            <w:tcW w:type="dxa" w:w="2020"/>
            <w:shd w:fill="F6FAF7"/>
          </w:tcPr>
          <w:p>
            <w:pPr>
              <w:spacing w:after="0" w:line="276" w:lineRule="auto"/>
              <w:jc w:val="right"/>
            </w:pPr>
            <w:r>
              <w:rPr>
                <w:rFonts w:ascii="Aptos" w:hAnsi="Aptos" w:eastAsia="Microsoft YaHei"/>
                <w:color w:val="1D352C"/>
                <w:sz w:val="17"/>
              </w:rPr>
              <w:t>(1,255)</w:t>
            </w:r>
          </w:p>
        </w:tc>
        <w:tc>
          <w:tcPr>
            <w:tcW w:type="dxa" w:w="2020"/>
            <w:shd w:fill="F6FAF7"/>
          </w:tcPr>
          <w:p>
            <w:pPr>
              <w:spacing w:after="0" w:line="276" w:lineRule="auto"/>
              <w:jc w:val="right"/>
            </w:pPr>
            <w:r>
              <w:rPr>
                <w:rFonts w:ascii="Aptos" w:hAnsi="Aptos" w:eastAsia="Microsoft YaHei"/>
                <w:color w:val="1D352C"/>
                <w:sz w:val="17"/>
              </w:rPr>
              <w:t>560</w:t>
            </w:r>
          </w:p>
        </w:tc>
        <w:tc>
          <w:tcPr>
            <w:tcW w:type="dxa" w:w="2020"/>
            <w:shd w:fill="F6FAF7"/>
          </w:tcPr>
          <w:p>
            <w:pPr>
              <w:spacing w:after="0" w:line="276" w:lineRule="auto"/>
              <w:jc w:val="right"/>
            </w:pPr>
            <w:r>
              <w:rPr>
                <w:rFonts w:ascii="Aptos" w:hAnsi="Aptos" w:eastAsia="Microsoft YaHei"/>
                <w:color w:val="1D352C"/>
                <w:sz w:val="17"/>
              </w:rPr>
              <w:t>6,365</w:t>
            </w:r>
          </w:p>
        </w:tc>
      </w:tr>
    </w:tbl>
    <w:p>
      <w:pPr>
        <w:keepNext w:val="0"/>
        <w:spacing w:before="0" w:after="60" w:line="307" w:lineRule="auto"/>
      </w:pPr>
      <w:r>
        <w:rPr>
          <w:rFonts w:ascii="Aptos" w:hAnsi="Aptos" w:eastAsia="Microsoft YaHei"/>
          <w:b w:val="0"/>
          <w:i w:val="0"/>
          <w:color w:val="1D352C"/>
          <w:sz w:val="4"/>
        </w:rPr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300"/>
        <w:gridCol w:w="2020"/>
        <w:gridCol w:w="2020"/>
        <w:gridCol w:w="2020"/>
      </w:tblGrid>
      <w:tr>
        <w:trPr>
          <w:tblHeader w:val="true"/>
        </w:trPr>
        <w:tc>
          <w:tcPr>
            <w:tcW w:type="dxa" w:w="33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0B3B2A"/>
          </w:tcPr>
          <w:p>
            <w:pPr>
              <w:spacing w:after="0"/>
              <w:jc w:val="center"/>
            </w:pPr>
            <w:r>
              <w:rPr>
                <w:rFonts w:ascii="Aptos" w:hAnsi="Aptos" w:eastAsia="Microsoft YaHei"/>
                <w:b/>
                <w:color w:val="FFFFFF"/>
                <w:sz w:val="18"/>
              </w:rPr>
              <w:t>关键假设</w:t>
            </w:r>
          </w:p>
        </w:tc>
        <w:tc>
          <w:tcPr>
            <w:tcW w:type="dxa" w:w="202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0B3B2A"/>
          </w:tcPr>
          <w:p>
            <w:pPr>
              <w:spacing w:after="0"/>
              <w:jc w:val="center"/>
            </w:pPr>
            <w:r>
              <w:rPr>
                <w:rFonts w:ascii="Aptos" w:hAnsi="Aptos" w:eastAsia="Microsoft YaHei"/>
                <w:b/>
                <w:color w:val="FFFFFF"/>
                <w:sz w:val="18"/>
              </w:rPr>
              <w:t>第1年</w:t>
            </w:r>
          </w:p>
        </w:tc>
        <w:tc>
          <w:tcPr>
            <w:tcW w:type="dxa" w:w="202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0B3B2A"/>
          </w:tcPr>
          <w:p>
            <w:pPr>
              <w:spacing w:after="0"/>
              <w:jc w:val="center"/>
            </w:pPr>
            <w:r>
              <w:rPr>
                <w:rFonts w:ascii="Aptos" w:hAnsi="Aptos" w:eastAsia="Microsoft YaHei"/>
                <w:b/>
                <w:color w:val="FFFFFF"/>
                <w:sz w:val="18"/>
              </w:rPr>
              <w:t>第2年</w:t>
            </w:r>
          </w:p>
        </w:tc>
        <w:tc>
          <w:tcPr>
            <w:tcW w:type="dxa" w:w="202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0B3B2A"/>
          </w:tcPr>
          <w:p>
            <w:pPr>
              <w:spacing w:after="0"/>
              <w:jc w:val="center"/>
            </w:pPr>
            <w:r>
              <w:rPr>
                <w:rFonts w:ascii="Aptos" w:hAnsi="Aptos" w:eastAsia="Microsoft YaHei"/>
                <w:b/>
                <w:color w:val="FFFFFF"/>
                <w:sz w:val="18"/>
              </w:rPr>
              <w:t>第3年</w:t>
            </w:r>
          </w:p>
        </w:tc>
      </w:tr>
      <w:tr>
        <w:tc>
          <w:tcPr>
            <w:tcW w:type="dxa" w:w="33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付费客户数</w:t>
            </w:r>
          </w:p>
        </w:tc>
        <w:tc>
          <w:tcPr>
            <w:tcW w:type="dxa" w:w="202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30</w:t>
            </w:r>
          </w:p>
        </w:tc>
        <w:tc>
          <w:tcPr>
            <w:tcW w:type="dxa" w:w="202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90</w:t>
            </w:r>
          </w:p>
        </w:tc>
        <w:tc>
          <w:tcPr>
            <w:tcW w:type="dxa" w:w="202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220</w:t>
            </w:r>
          </w:p>
        </w:tc>
      </w:tr>
      <w:tr>
        <w:tc>
          <w:tcPr>
            <w:tcW w:type="dxa" w:w="33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年度收入</w:t>
            </w:r>
          </w:p>
        </w:tc>
        <w:tc>
          <w:tcPr>
            <w:tcW w:type="dxa" w:w="202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HK$2.3m</w:t>
            </w:r>
          </w:p>
        </w:tc>
        <w:tc>
          <w:tcPr>
            <w:tcW w:type="dxa" w:w="202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HK$7.8m</w:t>
            </w:r>
          </w:p>
        </w:tc>
        <w:tc>
          <w:tcPr>
            <w:tcW w:type="dxa" w:w="202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HK$20.5m</w:t>
            </w:r>
          </w:p>
        </w:tc>
      </w:tr>
      <w:tr>
        <w:tc>
          <w:tcPr>
            <w:tcW w:type="dxa" w:w="33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经常性收入占比</w:t>
            </w:r>
          </w:p>
        </w:tc>
        <w:tc>
          <w:tcPr>
            <w:tcW w:type="dxa" w:w="202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35%</w:t>
            </w:r>
          </w:p>
        </w:tc>
        <w:tc>
          <w:tcPr>
            <w:tcW w:type="dxa" w:w="202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55%</w:t>
            </w:r>
          </w:p>
        </w:tc>
        <w:tc>
          <w:tcPr>
            <w:tcW w:type="dxa" w:w="202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68%</w:t>
            </w:r>
          </w:p>
        </w:tc>
      </w:tr>
      <w:tr>
        <w:tc>
          <w:tcPr>
            <w:tcW w:type="dxa" w:w="33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目标状态</w:t>
            </w:r>
          </w:p>
        </w:tc>
        <w:tc>
          <w:tcPr>
            <w:tcW w:type="dxa" w:w="202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验证产品与渠道</w:t>
            </w:r>
          </w:p>
        </w:tc>
        <w:tc>
          <w:tcPr>
            <w:tcW w:type="dxa" w:w="202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复制行业方案</w:t>
            </w:r>
          </w:p>
        </w:tc>
        <w:tc>
          <w:tcPr>
            <w:tcW w:type="dxa" w:w="202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集团级平台</w:t>
            </w:r>
          </w:p>
        </w:tc>
      </w:tr>
    </w:tbl>
    <w:p>
      <w:pPr>
        <w:keepNext w:val="0"/>
        <w:spacing w:before="0" w:after="60" w:line="307" w:lineRule="auto"/>
      </w:pPr>
      <w:r>
        <w:rPr>
          <w:rFonts w:ascii="Aptos" w:hAnsi="Aptos" w:eastAsia="Microsoft YaHei"/>
          <w:b w:val="0"/>
          <w:i w:val="0"/>
          <w:color w:val="1D352C"/>
          <w:sz w:val="4"/>
        </w:rPr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FF7E8"/>
          </w:tcPr>
          <w:p>
            <w:pPr>
              <w:spacing w:after="0" w:line="288" w:lineRule="auto"/>
            </w:pPr>
            <w:r>
              <w:rPr>
                <w:rFonts w:ascii="Aptos" w:hAnsi="Aptos" w:eastAsia="Microsoft YaHei"/>
                <w:b/>
                <w:color w:val="A06A1B"/>
                <w:sz w:val="20"/>
              </w:rPr>
              <w:t>财务判断｜</w:t>
            </w:r>
            <w:r>
              <w:rPr>
                <w:rFonts w:ascii="Aptos" w:hAnsi="Aptos" w:eastAsia="Microsoft YaHei"/>
                <w:color w:val="1D352C"/>
                <w:sz w:val="20"/>
              </w:rPr>
              <w:t>基准情景要求第2年实现经营盈亏转正。最敏感变量不是AI调用成本，而是付费诊断转化、订阅转化、交付工时和企业部署成交。管理仪表盘应按月追踪这四项。</w:t>
            </w:r>
          </w:p>
        </w:tc>
      </w:tr>
    </w:tbl>
    <w:p>
      <w:pPr>
        <w:keepNext w:val="0"/>
        <w:spacing w:before="0" w:after="40" w:line="307" w:lineRule="auto"/>
      </w:pPr>
      <w:r>
        <w:rPr>
          <w:rFonts w:ascii="Aptos" w:hAnsi="Aptos" w:eastAsia="Microsoft YaHei"/>
          <w:b w:val="0"/>
          <w:i w:val="0"/>
          <w:color w:val="1D352C"/>
          <w:sz w:val="4"/>
        </w:rPr>
      </w:r>
    </w:p>
    <w:p>
      <w:r>
        <w:br w:type="page"/>
      </w:r>
    </w:p>
    <w:p>
      <w:pPr>
        <w:pStyle w:val="Heading1"/>
        <w:keepNext/>
        <w:spacing w:before="340" w:after="160"/>
      </w:pPr>
      <w:r>
        <w:rPr>
          <w:rFonts w:ascii="Aptos" w:hAnsi="Aptos" w:eastAsia="Microsoft YaHei"/>
          <w:b/>
          <w:color w:val="0B3B2A"/>
          <w:sz w:val="32"/>
        </w:rPr>
        <w:t>13. 成功指标与管理仪表盘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700"/>
        <w:gridCol w:w="5200"/>
        <w:gridCol w:w="2460"/>
      </w:tblGrid>
      <w:tr>
        <w:trPr>
          <w:tblHeader w:val="true"/>
        </w:trPr>
        <w:tc>
          <w:tcPr>
            <w:tcW w:type="dxa" w:w="1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0B3B2A"/>
          </w:tcPr>
          <w:p>
            <w:pPr>
              <w:spacing w:after="0"/>
              <w:jc w:val="center"/>
            </w:pPr>
            <w:r>
              <w:rPr>
                <w:rFonts w:ascii="Aptos" w:hAnsi="Aptos" w:eastAsia="Microsoft YaHei"/>
                <w:b/>
                <w:color w:val="FFFFFF"/>
                <w:sz w:val="18"/>
              </w:rPr>
              <w:t>维度</w:t>
            </w:r>
          </w:p>
        </w:tc>
        <w:tc>
          <w:tcPr>
            <w:tcW w:type="dxa" w:w="52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0B3B2A"/>
          </w:tcPr>
          <w:p>
            <w:pPr>
              <w:spacing w:after="0"/>
              <w:jc w:val="center"/>
            </w:pPr>
            <w:r>
              <w:rPr>
                <w:rFonts w:ascii="Aptos" w:hAnsi="Aptos" w:eastAsia="Microsoft YaHei"/>
                <w:b/>
                <w:color w:val="FFFFFF"/>
                <w:sz w:val="18"/>
              </w:rPr>
              <w:t>首年指标</w:t>
            </w:r>
          </w:p>
        </w:tc>
        <w:tc>
          <w:tcPr>
            <w:tcW w:type="dxa" w:w="24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0B3B2A"/>
          </w:tcPr>
          <w:p>
            <w:pPr>
              <w:spacing w:after="0"/>
              <w:jc w:val="center"/>
            </w:pPr>
            <w:r>
              <w:rPr>
                <w:rFonts w:ascii="Aptos" w:hAnsi="Aptos" w:eastAsia="Microsoft YaHei"/>
                <w:b/>
                <w:color w:val="FFFFFF"/>
                <w:sz w:val="18"/>
              </w:rPr>
              <w:t>目标</w:t>
            </w:r>
          </w:p>
        </w:tc>
      </w:tr>
      <w:tr>
        <w:tc>
          <w:tcPr>
            <w:tcW w:type="dxa" w:w="17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获客</w:t>
            </w:r>
          </w:p>
        </w:tc>
        <w:tc>
          <w:tcPr>
            <w:tcW w:type="dxa" w:w="52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免费扫描完成数</w:t>
            </w:r>
          </w:p>
        </w:tc>
        <w:tc>
          <w:tcPr>
            <w:tcW w:type="dxa" w:w="246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300份</w:t>
            </w:r>
          </w:p>
        </w:tc>
      </w:tr>
      <w:tr>
        <w:tc>
          <w:tcPr>
            <w:tcW w:type="dxa" w:w="17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转化</w:t>
            </w:r>
          </w:p>
        </w:tc>
        <w:tc>
          <w:tcPr>
            <w:tcW w:type="dxa" w:w="52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扫描→付费诊断</w:t>
            </w:r>
          </w:p>
        </w:tc>
        <w:tc>
          <w:tcPr>
            <w:tcW w:type="dxa" w:w="246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10%+</w:t>
            </w:r>
          </w:p>
        </w:tc>
      </w:tr>
      <w:tr>
        <w:tc>
          <w:tcPr>
            <w:tcW w:type="dxa" w:w="17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价值</w:t>
            </w:r>
          </w:p>
        </w:tc>
        <w:tc>
          <w:tcPr>
            <w:tcW w:type="dxa" w:w="52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客户确认的现金释放/漏损金额</w:t>
            </w:r>
          </w:p>
        </w:tc>
        <w:tc>
          <w:tcPr>
            <w:tcW w:type="dxa" w:w="246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累计HK$22m+</w:t>
            </w:r>
          </w:p>
        </w:tc>
      </w:tr>
      <w:tr>
        <w:tc>
          <w:tcPr>
            <w:tcW w:type="dxa" w:w="17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汇率</w:t>
            </w:r>
          </w:p>
        </w:tc>
        <w:tc>
          <w:tcPr>
            <w:tcW w:type="dxa" w:w="52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汇率换算差异识别金额</w:t>
            </w:r>
          </w:p>
        </w:tc>
        <w:tc>
          <w:tcPr>
            <w:tcW w:type="dxa" w:w="246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累计HK$5m+</w:t>
            </w:r>
          </w:p>
        </w:tc>
      </w:tr>
      <w:tr>
        <w:tc>
          <w:tcPr>
            <w:tcW w:type="dxa" w:w="17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复购</w:t>
            </w:r>
          </w:p>
        </w:tc>
        <w:tc>
          <w:tcPr>
            <w:tcW w:type="dxa" w:w="52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诊断→订阅</w:t>
            </w:r>
          </w:p>
        </w:tc>
        <w:tc>
          <w:tcPr>
            <w:tcW w:type="dxa" w:w="246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25%+</w:t>
            </w:r>
          </w:p>
        </w:tc>
      </w:tr>
      <w:tr>
        <w:tc>
          <w:tcPr>
            <w:tcW w:type="dxa" w:w="17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效率</w:t>
            </w:r>
          </w:p>
        </w:tc>
        <w:tc>
          <w:tcPr>
            <w:tcW w:type="dxa" w:w="52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标准诊断人工工时</w:t>
            </w:r>
          </w:p>
        </w:tc>
        <w:tc>
          <w:tcPr>
            <w:tcW w:type="dxa" w:w="246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&lt;8小时</w:t>
            </w:r>
          </w:p>
        </w:tc>
      </w:tr>
      <w:tr>
        <w:tc>
          <w:tcPr>
            <w:tcW w:type="dxa" w:w="17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质量</w:t>
            </w:r>
          </w:p>
        </w:tc>
        <w:tc>
          <w:tcPr>
            <w:tcW w:type="dxa" w:w="52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诊断准确率（对比人工）</w:t>
            </w:r>
          </w:p>
        </w:tc>
        <w:tc>
          <w:tcPr>
            <w:tcW w:type="dxa" w:w="246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95%+</w:t>
            </w:r>
          </w:p>
        </w:tc>
      </w:tr>
      <w:tr>
        <w:tc>
          <w:tcPr>
            <w:tcW w:type="dxa" w:w="17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协同</w:t>
            </w:r>
          </w:p>
        </w:tc>
        <w:tc>
          <w:tcPr>
            <w:tcW w:type="dxa" w:w="52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ClawTax合格转介机会</w:t>
            </w:r>
          </w:p>
        </w:tc>
        <w:tc>
          <w:tcPr>
            <w:tcW w:type="dxa" w:w="246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30个</w:t>
            </w:r>
          </w:p>
        </w:tc>
      </w:tr>
      <w:tr>
        <w:tc>
          <w:tcPr>
            <w:tcW w:type="dxa" w:w="17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渠道</w:t>
            </w:r>
          </w:p>
        </w:tc>
        <w:tc>
          <w:tcPr>
            <w:tcW w:type="dxa" w:w="52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八至渠道客户占比</w:t>
            </w:r>
          </w:p>
        </w:tc>
        <w:tc>
          <w:tcPr>
            <w:tcW w:type="dxa" w:w="246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30%–40%</w:t>
            </w:r>
          </w:p>
        </w:tc>
      </w:tr>
      <w:tr>
        <w:tc>
          <w:tcPr>
            <w:tcW w:type="dxa" w:w="17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安全</w:t>
            </w:r>
          </w:p>
        </w:tc>
        <w:tc>
          <w:tcPr>
            <w:tcW w:type="dxa" w:w="52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重大错误或数据事件</w:t>
            </w:r>
          </w:p>
        </w:tc>
        <w:tc>
          <w:tcPr>
            <w:tcW w:type="dxa" w:w="246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0</w:t>
            </w:r>
          </w:p>
        </w:tc>
      </w:tr>
    </w:tbl>
    <w:p>
      <w:pPr>
        <w:keepNext w:val="0"/>
        <w:spacing w:before="0" w:after="60" w:line="307" w:lineRule="auto"/>
      </w:pPr>
      <w:r>
        <w:rPr>
          <w:rFonts w:ascii="Aptos" w:hAnsi="Aptos" w:eastAsia="Microsoft YaHei"/>
          <w:b w:val="0"/>
          <w:i w:val="0"/>
          <w:color w:val="1D352C"/>
          <w:sz w:val="4"/>
        </w:rPr>
      </w:r>
    </w:p>
    <w:p>
      <w:pPr>
        <w:pStyle w:val="Heading2"/>
        <w:keepNext/>
        <w:spacing w:before="240" w:after="120"/>
      </w:pPr>
      <w:r>
        <w:rPr>
          <w:rFonts w:ascii="Aptos" w:hAnsi="Aptos" w:eastAsia="Microsoft YaHei"/>
          <w:b/>
          <w:color w:val="176B4D"/>
          <w:sz w:val="26"/>
        </w:rPr>
        <w:t>13.1 技术运行指标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5200"/>
        <w:gridCol w:w="4160"/>
      </w:tblGrid>
      <w:tr>
        <w:trPr>
          <w:tblHeader w:val="true"/>
        </w:trPr>
        <w:tc>
          <w:tcPr>
            <w:tcW w:type="dxa" w:w="52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0B3B2A"/>
          </w:tcPr>
          <w:p>
            <w:pPr>
              <w:spacing w:after="0"/>
              <w:jc w:val="center"/>
            </w:pPr>
            <w:r>
              <w:rPr>
                <w:rFonts w:ascii="Aptos" w:hAnsi="Aptos" w:eastAsia="Microsoft YaHei"/>
                <w:b/>
                <w:color w:val="FFFFFF"/>
                <w:sz w:val="18"/>
              </w:rPr>
              <w:t>指标</w:t>
            </w:r>
          </w:p>
        </w:tc>
        <w:tc>
          <w:tcPr>
            <w:tcW w:type="dxa" w:w="41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0B3B2A"/>
          </w:tcPr>
          <w:p>
            <w:pPr>
              <w:spacing w:after="0"/>
              <w:jc w:val="center"/>
            </w:pPr>
            <w:r>
              <w:rPr>
                <w:rFonts w:ascii="Aptos" w:hAnsi="Aptos" w:eastAsia="Microsoft YaHei"/>
                <w:b/>
                <w:color w:val="FFFFFF"/>
                <w:sz w:val="18"/>
              </w:rPr>
              <w:t>目标</w:t>
            </w:r>
          </w:p>
        </w:tc>
      </w:tr>
      <w:tr>
        <w:tc>
          <w:tcPr>
            <w:tcW w:type="dxa" w:w="52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发票OCR准确率</w:t>
            </w:r>
          </w:p>
        </w:tc>
        <w:tc>
          <w:tcPr>
            <w:tcW w:type="dxa" w:w="416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98%+</w:t>
            </w:r>
          </w:p>
        </w:tc>
      </w:tr>
      <w:tr>
        <w:tc>
          <w:tcPr>
            <w:tcW w:type="dxa" w:w="52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汇率数据更新延迟</w:t>
            </w:r>
          </w:p>
        </w:tc>
        <w:tc>
          <w:tcPr>
            <w:tcW w:type="dxa" w:w="416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&lt;24小时</w:t>
            </w:r>
          </w:p>
        </w:tc>
      </w:tr>
      <w:tr>
        <w:tc>
          <w:tcPr>
            <w:tcW w:type="dxa" w:w="52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单份自动诊断时间</w:t>
            </w:r>
          </w:p>
        </w:tc>
        <w:tc>
          <w:tcPr>
            <w:tcW w:type="dxa" w:w="416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&lt;30分钟</w:t>
            </w:r>
          </w:p>
        </w:tc>
      </w:tr>
      <w:tr>
        <w:tc>
          <w:tcPr>
            <w:tcW w:type="dxa" w:w="52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服务可用率</w:t>
            </w:r>
          </w:p>
        </w:tc>
        <w:tc>
          <w:tcPr>
            <w:tcW w:type="dxa" w:w="416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99.5%+</w:t>
            </w:r>
          </w:p>
        </w:tc>
      </w:tr>
      <w:tr>
        <w:tc>
          <w:tcPr>
            <w:tcW w:type="dxa" w:w="52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Agent无需人工干预完成率</w:t>
            </w:r>
          </w:p>
        </w:tc>
        <w:tc>
          <w:tcPr>
            <w:tcW w:type="dxa" w:w="416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90%+（增强版）</w:t>
            </w:r>
          </w:p>
        </w:tc>
      </w:tr>
    </w:tbl>
    <w:p>
      <w:pPr>
        <w:keepNext w:val="0"/>
        <w:spacing w:before="0" w:after="60" w:line="307" w:lineRule="auto"/>
      </w:pPr>
      <w:r>
        <w:rPr>
          <w:rFonts w:ascii="Aptos" w:hAnsi="Aptos" w:eastAsia="Microsoft YaHei"/>
          <w:b w:val="0"/>
          <w:i w:val="0"/>
          <w:color w:val="1D352C"/>
          <w:sz w:val="4"/>
        </w:rPr>
      </w:r>
    </w:p>
    <w:p>
      <w:r>
        <w:br w:type="page"/>
      </w:r>
    </w:p>
    <w:p>
      <w:pPr>
        <w:pStyle w:val="Heading1"/>
        <w:keepNext/>
        <w:spacing w:before="340" w:after="160"/>
      </w:pPr>
      <w:r>
        <w:rPr>
          <w:rFonts w:ascii="Aptos" w:hAnsi="Aptos" w:eastAsia="Microsoft YaHei"/>
          <w:b/>
          <w:color w:val="0B3B2A"/>
          <w:sz w:val="32"/>
        </w:rPr>
        <w:t>14. 主要风险与控制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0"/>
        <w:gridCol w:w="2700"/>
        <w:gridCol w:w="4460"/>
      </w:tblGrid>
      <w:tr>
        <w:trPr>
          <w:tblHeader w:val="true"/>
        </w:trPr>
        <w:tc>
          <w:tcPr>
            <w:tcW w:type="dxa" w:w="22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0B3B2A"/>
          </w:tcPr>
          <w:p>
            <w:pPr>
              <w:spacing w:after="0"/>
              <w:jc w:val="center"/>
            </w:pPr>
            <w:r>
              <w:rPr>
                <w:rFonts w:ascii="Aptos" w:hAnsi="Aptos" w:eastAsia="Microsoft YaHei"/>
                <w:b/>
                <w:color w:val="FFFFFF"/>
                <w:sz w:val="18"/>
              </w:rPr>
              <w:t>风险</w:t>
            </w: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0B3B2A"/>
          </w:tcPr>
          <w:p>
            <w:pPr>
              <w:spacing w:after="0"/>
              <w:jc w:val="center"/>
            </w:pPr>
            <w:r>
              <w:rPr>
                <w:rFonts w:ascii="Aptos" w:hAnsi="Aptos" w:eastAsia="Microsoft YaHei"/>
                <w:b/>
                <w:color w:val="FFFFFF"/>
                <w:sz w:val="18"/>
              </w:rPr>
              <w:t>影响</w:t>
            </w:r>
          </w:p>
        </w:tc>
        <w:tc>
          <w:tcPr>
            <w:tcW w:type="dxa" w:w="44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0B3B2A"/>
          </w:tcPr>
          <w:p>
            <w:pPr>
              <w:spacing w:after="0"/>
              <w:jc w:val="center"/>
            </w:pPr>
            <w:r>
              <w:rPr>
                <w:rFonts w:ascii="Aptos" w:hAnsi="Aptos" w:eastAsia="Microsoft YaHei"/>
                <w:b/>
                <w:color w:val="FFFFFF"/>
                <w:sz w:val="18"/>
              </w:rPr>
              <w:t>控制措施</w:t>
            </w:r>
          </w:p>
        </w:tc>
      </w:tr>
      <w:tr>
        <w:tc>
          <w:tcPr>
            <w:tcW w:type="dxa" w:w="22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客户不愿上传数据</w:t>
            </w:r>
          </w:p>
        </w:tc>
        <w:tc>
          <w:tcPr>
            <w:tcW w:type="dxa" w:w="27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获客转化低</w:t>
            </w:r>
          </w:p>
        </w:tc>
        <w:tc>
          <w:tcPr>
            <w:tcW w:type="dxa" w:w="446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最小数据集、脱敏模板、专属环境</w:t>
            </w:r>
          </w:p>
        </w:tc>
      </w:tr>
      <w:tr>
        <w:tc>
          <w:tcPr>
            <w:tcW w:type="dxa" w:w="22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AI或OCR结论错误</w:t>
            </w:r>
          </w:p>
        </w:tc>
        <w:tc>
          <w:tcPr>
            <w:tcW w:type="dxa" w:w="27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信任及专业责任损失</w:t>
            </w:r>
          </w:p>
        </w:tc>
        <w:tc>
          <w:tcPr>
            <w:tcW w:type="dxa" w:w="446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规则优先、置信度、金额门槛、人工签发</w:t>
            </w:r>
          </w:p>
        </w:tc>
      </w:tr>
      <w:tr>
        <w:tc>
          <w:tcPr>
            <w:tcW w:type="dxa" w:w="22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汇率数据或口径争议</w:t>
            </w:r>
          </w:p>
        </w:tc>
        <w:tc>
          <w:tcPr>
            <w:tcW w:type="dxa" w:w="27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换算错误与客户争议</w:t>
            </w:r>
          </w:p>
        </w:tc>
        <w:tc>
          <w:tcPr>
            <w:tcW w:type="dxa" w:w="446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多源验证、依据留痕、方案对比</w:t>
            </w:r>
          </w:p>
        </w:tc>
      </w:tr>
      <w:tr>
        <w:tc>
          <w:tcPr>
            <w:tcW w:type="dxa" w:w="22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跨境结算建议不当</w:t>
            </w:r>
          </w:p>
        </w:tc>
        <w:tc>
          <w:tcPr>
            <w:tcW w:type="dxa" w:w="27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合规风险</w:t>
            </w:r>
          </w:p>
        </w:tc>
        <w:tc>
          <w:tcPr>
            <w:tcW w:type="dxa" w:w="446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免责声明、法规库、重大事项转介ClawTax</w:t>
            </w:r>
          </w:p>
        </w:tc>
      </w:tr>
      <w:tr>
        <w:tc>
          <w:tcPr>
            <w:tcW w:type="dxa" w:w="22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ERP接口碎片化</w:t>
            </w:r>
          </w:p>
        </w:tc>
        <w:tc>
          <w:tcPr>
            <w:tcW w:type="dxa" w:w="27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实施成本失控</w:t>
            </w:r>
          </w:p>
        </w:tc>
        <w:tc>
          <w:tcPr>
            <w:tcW w:type="dxa" w:w="446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先文件后接口、限定首批系统</w:t>
            </w:r>
          </w:p>
        </w:tc>
      </w:tr>
      <w:tr>
        <w:tc>
          <w:tcPr>
            <w:tcW w:type="dxa" w:w="22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变成低毛利外包</w:t>
            </w:r>
          </w:p>
        </w:tc>
        <w:tc>
          <w:tcPr>
            <w:tcW w:type="dxa" w:w="27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无法规模化</w:t>
            </w:r>
          </w:p>
        </w:tc>
        <w:tc>
          <w:tcPr>
            <w:tcW w:type="dxa" w:w="446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标准输入、标准报告、限制定制</w:t>
            </w:r>
          </w:p>
        </w:tc>
      </w:tr>
      <w:tr>
        <w:tc>
          <w:tcPr>
            <w:tcW w:type="dxa" w:w="22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与ClawTax边界不清</w:t>
            </w:r>
          </w:p>
        </w:tc>
        <w:tc>
          <w:tcPr>
            <w:tcW w:type="dxa" w:w="27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监管及责任风险</w:t>
            </w:r>
          </w:p>
        </w:tc>
        <w:tc>
          <w:tcPr>
            <w:tcW w:type="dxa" w:w="446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独立委托、授权、免责声明和转介记录</w:t>
            </w:r>
          </w:p>
        </w:tc>
      </w:tr>
      <w:tr>
        <w:tc>
          <w:tcPr>
            <w:tcW w:type="dxa" w:w="22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八至渠道依赖过度</w:t>
            </w:r>
          </w:p>
        </w:tc>
        <w:tc>
          <w:tcPr>
            <w:tcW w:type="dxa" w:w="270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渠道集中风险</w:t>
            </w:r>
          </w:p>
        </w:tc>
        <w:tc>
          <w:tcPr>
            <w:tcW w:type="dxa" w:w="4460"/>
            <w:shd w:fill="F6FAF7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同步发展伙伴，单一渠道&lt;40%</w:t>
            </w:r>
          </w:p>
        </w:tc>
      </w:tr>
      <w:tr>
        <w:tc>
          <w:tcPr>
            <w:tcW w:type="dxa" w:w="22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大厂进入</w:t>
            </w:r>
          </w:p>
        </w:tc>
        <w:tc>
          <w:tcPr>
            <w:tcW w:type="dxa" w:w="270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价格与渠道压力</w:t>
            </w:r>
          </w:p>
        </w:tc>
        <w:tc>
          <w:tcPr>
            <w:tcW w:type="dxa" w:w="4460"/>
          </w:tcPr>
          <w:p>
            <w:pPr>
              <w:spacing w:after="0" w:line="276" w:lineRule="auto"/>
              <w:jc w:val="left"/>
            </w:pPr>
            <w:r>
              <w:rPr>
                <w:rFonts w:ascii="Aptos" w:hAnsi="Aptos" w:eastAsia="Microsoft YaHei"/>
                <w:color w:val="1D352C"/>
                <w:sz w:val="17"/>
              </w:rPr>
              <w:t>聚焦跨境、汇率、关联交易和专家网络</w:t>
            </w:r>
          </w:p>
        </w:tc>
      </w:tr>
    </w:tbl>
    <w:p>
      <w:pPr>
        <w:keepNext w:val="0"/>
        <w:spacing w:before="0" w:after="60" w:line="307" w:lineRule="auto"/>
      </w:pPr>
      <w:r>
        <w:rPr>
          <w:rFonts w:ascii="Aptos" w:hAnsi="Aptos" w:eastAsia="Microsoft YaHei"/>
          <w:b w:val="0"/>
          <w:i w:val="0"/>
          <w:color w:val="1D352C"/>
          <w:sz w:val="4"/>
        </w:rPr>
      </w:r>
    </w:p>
    <w:p>
      <w:r>
        <w:br w:type="page"/>
      </w:r>
    </w:p>
    <w:p>
      <w:pPr>
        <w:pStyle w:val="Heading1"/>
        <w:keepNext/>
        <w:spacing w:before="340" w:after="160"/>
      </w:pPr>
      <w:r>
        <w:rPr>
          <w:rFonts w:ascii="Aptos" w:hAnsi="Aptos" w:eastAsia="Microsoft YaHei"/>
          <w:b/>
          <w:color w:val="0B3B2A"/>
          <w:sz w:val="32"/>
        </w:rPr>
        <w:t>15. 管理层待决事项与下一步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AF5EE"/>
          </w:tcPr>
          <w:p>
            <w:pPr>
              <w:spacing w:after="0" w:line="288" w:lineRule="auto"/>
            </w:pPr>
            <w:r>
              <w:rPr>
                <w:rFonts w:ascii="Aptos" w:hAnsi="Aptos" w:eastAsia="Microsoft YaHei"/>
                <w:b/>
                <w:color w:val="176B4D"/>
                <w:sz w:val="20"/>
              </w:rPr>
              <w:t>优先决策｜</w:t>
            </w:r>
            <w:r>
              <w:rPr>
                <w:rFonts w:ascii="Aptos" w:hAnsi="Aptos" w:eastAsia="Microsoft YaHei"/>
                <w:color w:val="1D352C"/>
                <w:sz w:val="20"/>
              </w:rPr>
              <w:t>先把商业闭环和专业边界确定下来，再扩大技术范围。下列事项应在M1结束前形成书面结论。</w:t>
            </w:r>
          </w:p>
        </w:tc>
      </w:tr>
    </w:tbl>
    <w:p>
      <w:pPr>
        <w:keepNext w:val="0"/>
        <w:spacing w:before="0" w:after="40" w:line="307" w:lineRule="auto"/>
      </w:pPr>
      <w:r>
        <w:rPr>
          <w:rFonts w:ascii="Aptos" w:hAnsi="Aptos" w:eastAsia="Microsoft YaHei"/>
          <w:b w:val="0"/>
          <w:i w:val="0"/>
          <w:color w:val="1D352C"/>
          <w:sz w:val="4"/>
        </w:rPr>
      </w:r>
    </w:p>
    <w:p>
      <w:pPr>
        <w:pStyle w:val="ListNumber"/>
        <w:spacing w:after="80" w:line="293" w:lineRule="auto"/>
      </w:pPr>
      <w:r>
        <w:rPr>
          <w:rFonts w:ascii="Aptos" w:hAnsi="Aptos" w:eastAsia="Microsoft YaHei"/>
          <w:color w:val="1D352C"/>
          <w:sz w:val="20"/>
        </w:rPr>
        <w:t>确认 ClawTax 是统一技术底座、姐妹品牌，还是仅税务承接方；据此确定品牌、数据和接口协议。</w:t>
      </w:r>
    </w:p>
    <w:p>
      <w:pPr>
        <w:pStyle w:val="ListNumber"/>
        <w:spacing w:after="80" w:line="293" w:lineRule="auto"/>
      </w:pPr>
      <w:r>
        <w:rPr>
          <w:rFonts w:ascii="Aptos" w:hAnsi="Aptos" w:eastAsia="Microsoft YaHei"/>
          <w:color w:val="1D352C"/>
          <w:sz w:val="20"/>
        </w:rPr>
        <w:t>确认八至管理咨询的联合推广协议、客户归属、分成口径和结算周期。</w:t>
      </w:r>
    </w:p>
    <w:p>
      <w:pPr>
        <w:pStyle w:val="ListNumber"/>
        <w:spacing w:after="80" w:line="293" w:lineRule="auto"/>
      </w:pPr>
      <w:r>
        <w:rPr>
          <w:rFonts w:ascii="Aptos" w:hAnsi="Aptos" w:eastAsia="Microsoft YaHei"/>
          <w:color w:val="1D352C"/>
          <w:sz w:val="20"/>
        </w:rPr>
        <w:t>确定MVP仅覆盖F1/F2还是同步试点F3；F5/F6上线顺序以客户数据和销售验证为准。</w:t>
      </w:r>
    </w:p>
    <w:p>
      <w:pPr>
        <w:pStyle w:val="ListNumber"/>
        <w:spacing w:after="80" w:line="293" w:lineRule="auto"/>
      </w:pPr>
      <w:r>
        <w:rPr>
          <w:rFonts w:ascii="Aptos" w:hAnsi="Aptos" w:eastAsia="Microsoft YaHei"/>
          <w:color w:val="1D352C"/>
          <w:sz w:val="20"/>
        </w:rPr>
        <w:t>签约5家设计伙伴，并统一现金价值、准确率、人工工时和案例披露口径。</w:t>
      </w:r>
    </w:p>
    <w:p>
      <w:pPr>
        <w:pStyle w:val="ListNumber"/>
        <w:spacing w:after="80" w:line="293" w:lineRule="auto"/>
      </w:pPr>
      <w:r>
        <w:rPr>
          <w:rFonts w:ascii="Aptos" w:hAnsi="Aptos" w:eastAsia="Microsoft YaHei"/>
          <w:color w:val="1D352C"/>
          <w:sz w:val="20"/>
        </w:rPr>
        <w:t>确定数据存储区域、保留期限、客户删除权、企业私有部署和安全审计要求。</w:t>
      </w:r>
    </w:p>
    <w:p>
      <w:pPr>
        <w:pStyle w:val="ListNumber"/>
        <w:spacing w:after="80" w:line="293" w:lineRule="auto"/>
      </w:pPr>
      <w:r>
        <w:rPr>
          <w:rFonts w:ascii="Aptos" w:hAnsi="Aptos" w:eastAsia="Microsoft YaHei"/>
          <w:color w:val="1D352C"/>
          <w:sz w:val="20"/>
        </w:rPr>
        <w:t>建立月度管理仪表盘，以转化、订阅、交付工时、准确率和现金价值为核心。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AF5EE"/>
          </w:tcPr>
          <w:p>
            <w:pPr>
              <w:spacing w:after="0" w:line="288" w:lineRule="auto"/>
            </w:pPr>
            <w:r>
              <w:rPr>
                <w:rFonts w:ascii="Aptos" w:hAnsi="Aptos" w:eastAsia="Microsoft YaHei"/>
                <w:b/>
                <w:color w:val="176B4D"/>
                <w:sz w:val="20"/>
              </w:rPr>
              <w:t>最终建议｜</w:t>
            </w:r>
            <w:r>
              <w:rPr>
                <w:rFonts w:ascii="Aptos" w:hAnsi="Aptos" w:eastAsia="Microsoft YaHei"/>
                <w:color w:val="1D352C"/>
                <w:sz w:val="20"/>
              </w:rPr>
              <w:t>以“应收现金回收”证明 ROI，以“应付漏损”形成快速价值，以“汇率换算”建立跨境差异化，以“关联方对账”沉淀长期数据，以“ClawTax 转让定价承接”提高客单价和专业壁垒。</w:t>
            </w:r>
          </w:p>
        </w:tc>
      </w:tr>
    </w:tbl>
    <w:p>
      <w:pPr>
        <w:keepNext w:val="0"/>
        <w:spacing w:before="0" w:after="40" w:line="307" w:lineRule="auto"/>
      </w:pPr>
      <w:r>
        <w:rPr>
          <w:rFonts w:ascii="Aptos" w:hAnsi="Aptos" w:eastAsia="Microsoft YaHei"/>
          <w:b w:val="0"/>
          <w:i w:val="0"/>
          <w:color w:val="1D352C"/>
          <w:sz w:val="4"/>
        </w:rPr>
      </w:r>
    </w:p>
    <w:p>
      <w:r>
        <w:br w:type="page"/>
      </w:r>
    </w:p>
    <w:p>
      <w:pPr>
        <w:pStyle w:val="Heading1"/>
        <w:keepNext/>
        <w:spacing w:before="340" w:after="160"/>
      </w:pPr>
      <w:r>
        <w:rPr>
          <w:rFonts w:ascii="Aptos" w:hAnsi="Aptos" w:eastAsia="Microsoft YaHei"/>
          <w:b/>
          <w:color w:val="0B3B2A"/>
          <w:sz w:val="32"/>
        </w:rPr>
        <w:t>附录A：两份原始材料总结</w:t>
      </w:r>
    </w:p>
    <w:p>
      <w:pPr>
        <w:pStyle w:val="Heading2"/>
        <w:keepNext/>
        <w:spacing w:before="240" w:after="120"/>
      </w:pPr>
      <w:r>
        <w:rPr>
          <w:rFonts w:ascii="Aptos" w:hAnsi="Aptos" w:eastAsia="Microsoft YaHei"/>
          <w:b/>
          <w:color w:val="176B4D"/>
          <w:sz w:val="26"/>
        </w:rPr>
        <w:t>A.1 《ClawFin商业计划书 V2.0》</w:t>
      </w:r>
    </w:p>
    <w:p>
      <w:pPr>
        <w:keepNext w:val="0"/>
        <w:spacing w:before="0" w:after="140" w:line="307" w:lineRule="auto"/>
      </w:pPr>
      <w:r>
        <w:rPr>
          <w:rFonts w:ascii="Aptos" w:hAnsi="Aptos" w:eastAsia="Microsoft YaHei"/>
          <w:b w:val="0"/>
          <w:i w:val="0"/>
          <w:color w:val="1D352C"/>
          <w:sz w:val="21"/>
        </w:rPr>
        <w:t>该文件建立了商业逻辑主线：从应收应付、跨境汇率和关联交易痛点出发，定义F1-F6产品模块、客户画像、定价阶梯、渠道策略、运营流程、三年财务模型、12个月路线图及风险控制。其最大价值是明确了“免费扫描—付费诊断—订阅监控—企业部署—税务转介”的变现路径。</w:t>
      </w:r>
    </w:p>
    <w:p>
      <w:pPr>
        <w:pStyle w:val="Heading2"/>
        <w:keepNext/>
        <w:spacing w:before="240" w:after="120"/>
      </w:pPr>
      <w:r>
        <w:rPr>
          <w:rFonts w:ascii="Aptos" w:hAnsi="Aptos" w:eastAsia="Microsoft YaHei"/>
          <w:b/>
          <w:color w:val="176B4D"/>
          <w:sz w:val="26"/>
        </w:rPr>
        <w:t>A.2 《ClawFin开发框架 V1.0》</w:t>
      </w:r>
    </w:p>
    <w:p>
      <w:pPr>
        <w:keepNext w:val="0"/>
        <w:spacing w:before="0" w:after="140" w:line="307" w:lineRule="auto"/>
      </w:pPr>
      <w:r>
        <w:rPr>
          <w:rFonts w:ascii="Aptos" w:hAnsi="Aptos" w:eastAsia="Microsoft YaHei"/>
          <w:b w:val="0"/>
          <w:i w:val="0"/>
          <w:color w:val="1D352C"/>
          <w:sz w:val="21"/>
        </w:rPr>
        <w:t>该文件补充了技术实现主线：ClawFin运行在ClawTax统一AI底座之上，采用四层业务架构和八类专业智能体，并增加F7现金流监控、F8异常侦测、数据分层治理、竞品对标、技术栈建议及四阶段研发计划。其最大价值是把商业模块转化为可开发的系统边界。</w:t>
      </w:r>
    </w:p>
    <w:p>
      <w:pPr>
        <w:pStyle w:val="Heading2"/>
        <w:keepNext/>
        <w:spacing w:before="240" w:after="120"/>
      </w:pPr>
      <w:r>
        <w:rPr>
          <w:rFonts w:ascii="Aptos" w:hAnsi="Aptos" w:eastAsia="Microsoft YaHei"/>
          <w:b/>
          <w:color w:val="176B4D"/>
          <w:sz w:val="26"/>
        </w:rPr>
        <w:t>A.3 本版整合原则</w:t>
      </w:r>
    </w:p>
    <w:p>
      <w:pPr>
        <w:pStyle w:val="ListBullet"/>
        <w:spacing w:after="80" w:line="293" w:lineRule="auto"/>
      </w:pPr>
      <w:r>
        <w:rPr>
          <w:rFonts w:ascii="Aptos" w:hAnsi="Aptos" w:eastAsia="Microsoft YaHei"/>
          <w:color w:val="1D352C"/>
          <w:sz w:val="20"/>
        </w:rPr>
        <w:t>商业计划为主、技术框架为支撑，避免重复叙述；</w:t>
      </w:r>
    </w:p>
    <w:p>
      <w:pPr>
        <w:pStyle w:val="ListBullet"/>
        <w:spacing w:after="80" w:line="293" w:lineRule="auto"/>
      </w:pPr>
      <w:r>
        <w:rPr>
          <w:rFonts w:ascii="Aptos" w:hAnsi="Aptos" w:eastAsia="Microsoft YaHei"/>
          <w:color w:val="1D352C"/>
          <w:sz w:val="20"/>
        </w:rPr>
        <w:t>F1-F6保留，F7/F8进入增强版，控制MVP范围；</w:t>
      </w:r>
    </w:p>
    <w:p>
      <w:pPr>
        <w:pStyle w:val="ListBullet"/>
        <w:spacing w:after="80" w:line="293" w:lineRule="auto"/>
      </w:pPr>
      <w:r>
        <w:rPr>
          <w:rFonts w:ascii="Aptos" w:hAnsi="Aptos" w:eastAsia="Microsoft YaHei"/>
          <w:color w:val="1D352C"/>
          <w:sz w:val="20"/>
        </w:rPr>
        <w:t>ClawFin、ClawTax与八至的责任边界统一表述；</w:t>
      </w:r>
    </w:p>
    <w:p>
      <w:pPr>
        <w:pStyle w:val="ListBullet"/>
        <w:spacing w:after="80" w:line="293" w:lineRule="auto"/>
      </w:pPr>
      <w:r>
        <w:rPr>
          <w:rFonts w:ascii="Aptos" w:hAnsi="Aptos" w:eastAsia="Microsoft YaHei"/>
          <w:color w:val="1D352C"/>
          <w:sz w:val="20"/>
        </w:rPr>
        <w:t>财务模型沿用V2.0最新口径，并明确为管理层情景；</w:t>
      </w:r>
    </w:p>
    <w:p>
      <w:pPr>
        <w:pStyle w:val="ListBullet"/>
        <w:spacing w:after="80" w:line="293" w:lineRule="auto"/>
      </w:pPr>
      <w:r>
        <w:rPr>
          <w:rFonts w:ascii="Aptos" w:hAnsi="Aptos" w:eastAsia="Microsoft YaHei"/>
          <w:color w:val="1D352C"/>
          <w:sz w:val="20"/>
        </w:rPr>
        <w:t>所有税务、审计、法律及重大跨境结算判断保留专业复核。</w:t>
      </w:r>
    </w:p>
    <w:p>
      <w:pPr>
        <w:pStyle w:val="Heading1"/>
        <w:keepNext/>
        <w:spacing w:before="340" w:after="160"/>
      </w:pPr>
      <w:r>
        <w:rPr>
          <w:rFonts w:ascii="Aptos" w:hAnsi="Aptos" w:eastAsia="Microsoft YaHei"/>
          <w:b/>
          <w:color w:val="0B3B2A"/>
          <w:sz w:val="32"/>
        </w:rPr>
        <w:t>附录B：声明</w:t>
      </w:r>
    </w:p>
    <w:p>
      <w:pPr>
        <w:keepNext w:val="0"/>
        <w:spacing w:before="0" w:after="140" w:line="307" w:lineRule="auto"/>
      </w:pPr>
      <w:r>
        <w:rPr>
          <w:rFonts w:ascii="Aptos" w:hAnsi="Aptos" w:eastAsia="Microsoft YaHei"/>
          <w:b w:val="0"/>
          <w:i/>
          <w:color w:val="60756B"/>
          <w:sz w:val="18"/>
        </w:rPr>
        <w:t>本计划书用于商业规划、产品验证和资源配置，不构成融资、投资、税务、会计、审计或法律意见。市场数据和财务预测来自原始材料及管理层假设，应在正式融资或对外发布前逐项核验来源和时点。汇率换算仅供内部管理参考，实际结算汇率以银行成交为准。涉及税务、转让定价、外汇合规或跨境法律问题，应由相关司法管辖区的合资格专业人员确认。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81" w:right="1440" w:bottom="1123" w:left="1440" w:header="547" w:footer="54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ptos" w:hAnsi="Aptos" w:eastAsia="Microsoft YaHei"/>
        <w:color w:val="60756B"/>
        <w:sz w:val="16"/>
      </w:rPr>
      <w:t xml:space="preserve">八至管理咨询 · 2026年7月   |   </w:t>
    </w:r>
    <w:r>
      <w:rPr>
        <w:rFonts w:ascii="Aptos" w:hAnsi="Aptos" w:eastAsia="Microsoft YaHei"/>
        <w:color w:val="60756B"/>
        <w:sz w:val="16"/>
      </w:rPr>
      <w:fldChar w:fldCharType="begin"/>
      <w:instrText xml:space="preserve">PAGE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Aptos" w:hAnsi="Aptos" w:eastAsia="Microsoft YaHei"/>
        <w:b/>
        <w:color w:val="60756B"/>
        <w:sz w:val="16"/>
      </w:rPr>
      <w:t>CLAWFIN  |  BUSINESS PLAN V3.0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07" w:lineRule="auto"/>
    </w:pPr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0B3B2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76B4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0B3B2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Microsoft YaHei" w:hAnsi="Microsoft YaHei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Microsoft YaHei" w:hAnsi="Microsoft YaHei"/>
      <w:sz w:val="20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ClawFin商业计划书 V3.0 整合打印版</dc:title>
  <dc:subject>跨境往来账、现金回收、汇率管理与关联交易智能诊断平台</dc:subject>
  <dc:creator>ClawFin / 八至管理咨询</dc:creator>
  <cp:keywords>ClawFin, ClawTax, 应收, 应付, 汇率, 关联交易, 转让定价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